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18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cs="Times New Roman" w:asciiTheme="minorEastAsia" w:hAnsiTheme="minorEastAsia"/>
          <w:b/>
          <w:color w:val="auto"/>
          <w:sz w:val="36"/>
          <w:szCs w:val="32"/>
          <w:lang w:val="en-US" w:eastAsia="zh-CN"/>
        </w:rPr>
      </w:pPr>
      <w:bookmarkStart w:id="4" w:name="_GoBack"/>
      <w:bookmarkStart w:id="0" w:name="_Toc45209486"/>
      <w:bookmarkStart w:id="1" w:name="_Toc75250902"/>
      <w:r>
        <w:rPr>
          <w:rFonts w:hint="eastAsia" w:ascii="宋体" w:hAnsi="宋体"/>
          <w:b/>
          <w:sz w:val="36"/>
          <w:szCs w:val="36"/>
        </w:rPr>
        <w:t>《</w:t>
      </w:r>
      <w:r>
        <w:rPr>
          <w:rFonts w:hint="eastAsia" w:cs="Times New Roman" w:asciiTheme="minorEastAsia" w:hAnsiTheme="minorEastAsia"/>
          <w:b/>
          <w:color w:val="auto"/>
          <w:sz w:val="36"/>
          <w:szCs w:val="32"/>
          <w:lang w:val="en-US" w:eastAsia="zh-CN"/>
        </w:rPr>
        <w:t>新余市渝水区良山镇镇区102B、102C单元</w:t>
      </w:r>
    </w:p>
    <w:p w14:paraId="754A9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cs="Times New Roman" w:asciiTheme="minorEastAsia" w:hAnsiTheme="minorEastAsia"/>
          <w:b/>
          <w:color w:val="auto"/>
          <w:sz w:val="36"/>
          <w:szCs w:val="32"/>
          <w:lang w:val="en-US" w:eastAsia="zh-CN"/>
        </w:rPr>
        <w:t>详细规划</w:t>
      </w:r>
      <w:r>
        <w:rPr>
          <w:rFonts w:hint="eastAsia" w:ascii="宋体" w:hAnsi="宋体"/>
          <w:b/>
          <w:sz w:val="36"/>
          <w:szCs w:val="36"/>
        </w:rPr>
        <w:t>》</w:t>
      </w:r>
      <w:bookmarkEnd w:id="4"/>
      <w:r>
        <w:rPr>
          <w:rFonts w:hint="eastAsia" w:ascii="宋体" w:hAnsi="宋体"/>
          <w:b/>
          <w:sz w:val="36"/>
          <w:szCs w:val="36"/>
          <w:lang w:eastAsia="zh-CN"/>
        </w:rPr>
        <w:t>公示简介</w:t>
      </w:r>
    </w:p>
    <w:p w14:paraId="09A5ED1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0"/>
        <w:rPr>
          <w:rFonts w:hint="eastAsia" w:ascii="黑体" w:hAnsi="宋体" w:eastAsia="黑体"/>
          <w:b/>
          <w:sz w:val="32"/>
          <w:szCs w:val="32"/>
          <w:lang w:eastAsia="zh-CN"/>
        </w:rPr>
      </w:pPr>
      <w:r>
        <w:rPr>
          <w:rFonts w:hint="eastAsia" w:ascii="黑体" w:hAnsi="宋体" w:eastAsia="黑体"/>
          <w:b/>
          <w:sz w:val="32"/>
          <w:szCs w:val="32"/>
          <w:lang w:eastAsia="zh-CN"/>
        </w:rPr>
        <w:t>规划背景及目的</w:t>
      </w:r>
    </w:p>
    <w:bookmarkEnd w:id="0"/>
    <w:bookmarkEnd w:id="1"/>
    <w:p w14:paraId="379D9F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为落实新余市、渝水区重要战略，传导好良山镇国土空间总体规划内容，完善良山镇国土空间规划体系，保障重大项目落地建设，为良山镇镇区102B、102C单元内的建设、管理及实施国土空间用途管制、规划许可提供依据，开展了本规划的编制工作，现将有关情况汇报</w:t>
      </w:r>
      <w:r>
        <w:rPr>
          <w:rFonts w:hint="eastAsia" w:ascii="仿宋_GB2312" w:eastAsia="仿宋_GB2312"/>
          <w:color w:val="auto"/>
          <w:sz w:val="32"/>
          <w:szCs w:val="32"/>
        </w:rPr>
        <w:t>如下：</w:t>
      </w:r>
    </w:p>
    <w:p w14:paraId="0FBAFE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0"/>
        <w:rPr>
          <w:rFonts w:hint="eastAsia" w:ascii="黑体" w:hAnsi="宋体" w:eastAsia="黑体"/>
          <w:b/>
          <w:sz w:val="32"/>
          <w:szCs w:val="32"/>
          <w:lang w:eastAsia="zh-CN"/>
        </w:rPr>
      </w:pPr>
      <w:r>
        <w:rPr>
          <w:rFonts w:hint="eastAsia" w:ascii="黑体" w:hAnsi="宋体" w:eastAsia="黑体"/>
          <w:b/>
          <w:sz w:val="32"/>
          <w:szCs w:val="32"/>
          <w:lang w:eastAsia="zh-CN"/>
        </w:rPr>
        <w:t>规划重点</w:t>
      </w:r>
    </w:p>
    <w:p w14:paraId="5ABA1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bookmarkStart w:id="2" w:name="_Hlk118125355"/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传导落实</w:t>
      </w:r>
      <w:bookmarkEnd w:id="2"/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、深化细化良山镇国空总规、各专项专业规划；</w:t>
      </w:r>
    </w:p>
    <w:p w14:paraId="3DF9F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优化用地结构、完善公服体系、保障重大项目建设、提升城镇风貌。</w:t>
      </w:r>
    </w:p>
    <w:p w14:paraId="2E9423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0"/>
        <w:rPr>
          <w:rFonts w:hint="eastAsia" w:ascii="黑体" w:hAnsi="宋体" w:eastAsia="黑体"/>
          <w:b/>
          <w:sz w:val="32"/>
          <w:szCs w:val="32"/>
          <w:lang w:eastAsia="zh-CN"/>
        </w:rPr>
      </w:pPr>
      <w:r>
        <w:rPr>
          <w:rFonts w:hint="eastAsia" w:ascii="黑体" w:hAnsi="宋体" w:eastAsia="黑体"/>
          <w:b/>
          <w:sz w:val="32"/>
          <w:szCs w:val="32"/>
          <w:lang w:eastAsia="zh-CN"/>
        </w:rPr>
        <w:t>主要内容</w:t>
      </w:r>
    </w:p>
    <w:p w14:paraId="0EA4B16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  <w:t>规划范围及规模</w:t>
      </w:r>
    </w:p>
    <w:p w14:paraId="32069401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156" w:after="156" w:line="360" w:lineRule="auto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bookmarkStart w:id="3" w:name="_Hlk174266917"/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包括良山镇镇区102B、102C两个详细规划单元。西至周宇路、东至大唐新余二期工程、北至垣下组团、南至良山镇第一小学，规划总面积约357公顷</w:t>
      </w:r>
      <w:bookmarkEnd w:id="3"/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。规划常住人口0.85万。</w:t>
      </w:r>
    </w:p>
    <w:p w14:paraId="4BFD874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  <w:t>性质定位</w:t>
      </w:r>
    </w:p>
    <w:p w14:paraId="5DAF0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102B单元：良山城镇综合生活服务中心片区，良山镇自有工业企业集中服务片区。</w:t>
      </w:r>
    </w:p>
    <w:p w14:paraId="11E7D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102C单元：良山城镇生活服务白沙次中心片区、新余市大唐配套产业服务片区。</w:t>
      </w:r>
    </w:p>
    <w:p w14:paraId="35F2F1C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  <w:t>用地布局</w:t>
      </w:r>
    </w:p>
    <w:p w14:paraId="14122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ind w:firstLine="560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规划范围内含居住用地76.45公顷，公共管理与公共服务用地28.49公顷，商业服务业用地14.14公顷，工矿用地144.37公顷，仓储用地15.90公顷，公用设施用地6.17公顷，绿地与开敞空间用地20.12公顷，留白用地10.75公顷。</w:t>
      </w:r>
    </w:p>
    <w:p w14:paraId="26E5FA9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  <w:t>公共服务设施及社区生活圈体系</w:t>
      </w:r>
    </w:p>
    <w:p w14:paraId="3CC90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构建“镇级—社区级”两级公共服务体系，落实上位规划，保留现有行政管理、教育、文化、体育、医疗、社会福利等设施。规划新建镇级体育场馆1处，扩建良山镇卫生院，新建白沙卫生室；并合理配置5-10分钟生活圈社区级设施。</w:t>
      </w:r>
    </w:p>
    <w:p w14:paraId="730EE53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sz w:val="32"/>
          <w:szCs w:val="32"/>
          <w:lang w:val="en-US" w:eastAsia="zh-CN"/>
        </w:rPr>
        <w:t>道路交通体系</w:t>
      </w:r>
    </w:p>
    <w:p w14:paraId="60D01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以山凤路、吉新公路S221为骨架，构建“一纵一横”的主干路系统。北接新余市区，南至峡江县，西接九龙山乡。</w:t>
      </w:r>
    </w:p>
    <w:p w14:paraId="7537A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一纵：即吉新公路S221，道路红线20米；</w:t>
      </w:r>
    </w:p>
    <w:p w14:paraId="1EC5A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一横：即山凤路，道路红线24米。</w:t>
      </w:r>
    </w:p>
    <w:p w14:paraId="0E7FD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 w14:paraId="60DEE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</w:p>
    <w:p w14:paraId="71F1F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860" w:right="1800" w:bottom="1538" w:left="1800" w:header="851" w:footer="992" w:gutter="0"/>
          <w:cols w:space="425" w:num="1"/>
          <w:docGrid w:type="lines" w:linePitch="312" w:charSpace="0"/>
        </w:sectPr>
      </w:pPr>
    </w:p>
    <w:p w14:paraId="03058A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附件：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规划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图纸</w:t>
      </w:r>
    </w:p>
    <w:p w14:paraId="11AB4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11972925" cy="7813675"/>
            <wp:effectExtent l="0" t="0" r="0" b="0"/>
            <wp:docPr id="1" name="图片 1" descr="C:/Users/Administrator/Desktop/02 规划范围图.jpg02 规划范围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02 规划范围图.jpg02 规划范围图"/>
                    <pic:cNvPicPr>
                      <a:picLocks noChangeAspect="1"/>
                    </pic:cNvPicPr>
                  </pic:nvPicPr>
                  <pic:blipFill>
                    <a:blip r:embed="rId5"/>
                    <a:srcRect l="842" t="2714" r="1199" b="6766"/>
                    <a:stretch>
                      <a:fillRect/>
                    </a:stretch>
                  </pic:blipFill>
                  <pic:spPr>
                    <a:xfrm>
                      <a:off x="0" y="0"/>
                      <a:ext cx="11972925" cy="78136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4E0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12600305" cy="8326120"/>
            <wp:effectExtent l="9525" t="9525" r="20320" b="27305"/>
            <wp:docPr id="4" name="图片 4" descr="C:/Users/Administrator/Desktop/16 土地利用规划图.jpg16 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Desktop/16 土地利用规划图.jpg16 土地利用规划图"/>
                    <pic:cNvPicPr>
                      <a:picLocks noChangeAspect="1"/>
                    </pic:cNvPicPr>
                  </pic:nvPicPr>
                  <pic:blipFill>
                    <a:blip r:embed="rId6"/>
                    <a:srcRect l="1174" t="2244" r="1633" b="6818"/>
                    <a:stretch>
                      <a:fillRect/>
                    </a:stretch>
                  </pic:blipFill>
                  <pic:spPr>
                    <a:xfrm>
                      <a:off x="0" y="0"/>
                      <a:ext cx="12600305" cy="83261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F3F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12600305" cy="8264525"/>
            <wp:effectExtent l="9525" t="9525" r="20320" b="12700"/>
            <wp:docPr id="2" name="图片 2" descr="C:/Users/Administrator/Desktop/17 公共服务设施规划图.jpg17 公共服务设施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17 公共服务设施规划图.jpg17 公共服务设施规划图"/>
                    <pic:cNvPicPr>
                      <a:picLocks noChangeAspect="1"/>
                    </pic:cNvPicPr>
                  </pic:nvPicPr>
                  <pic:blipFill>
                    <a:blip r:embed="rId7"/>
                    <a:srcRect l="1220" t="2594" r="1557" b="7111"/>
                    <a:stretch>
                      <a:fillRect/>
                    </a:stretch>
                  </pic:blipFill>
                  <pic:spPr>
                    <a:xfrm>
                      <a:off x="0" y="0"/>
                      <a:ext cx="12600305" cy="82645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12600305" cy="8268970"/>
            <wp:effectExtent l="9525" t="9525" r="20320" b="27305"/>
            <wp:docPr id="5" name="图片 5" descr="C:/Users/Administrator/Desktop/21 道路系统规划图.jpg21 道路系统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Administrator/Desktop/21 道路系统规划图.jpg21 道路系统规划图"/>
                    <pic:cNvPicPr>
                      <a:picLocks noChangeAspect="1"/>
                    </pic:cNvPicPr>
                  </pic:nvPicPr>
                  <pic:blipFill>
                    <a:blip r:embed="rId8"/>
                    <a:srcRect l="1335" t="2928" r="1109" b="6418"/>
                    <a:stretch>
                      <a:fillRect/>
                    </a:stretch>
                  </pic:blipFill>
                  <pic:spPr>
                    <a:xfrm>
                      <a:off x="0" y="0"/>
                      <a:ext cx="12600305" cy="82689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12600305" cy="8712835"/>
            <wp:effectExtent l="9525" t="9525" r="20320" b="21590"/>
            <wp:docPr id="6" name="图片 6" descr="C:/Users/Administrator/Desktop/37 规划指标控制图.jpg37 规划指标控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/Users/Administrator/Desktop/37 规划指标控制图.jpg37 规划指标控制图"/>
                    <pic:cNvPicPr>
                      <a:picLocks noChangeAspect="1"/>
                    </pic:cNvPicPr>
                  </pic:nvPicPr>
                  <pic:blipFill>
                    <a:blip r:embed="rId9"/>
                    <a:srcRect l="1285" t="1908" r="1245" b="2657"/>
                    <a:stretch>
                      <a:fillRect/>
                    </a:stretch>
                  </pic:blipFill>
                  <pic:spPr>
                    <a:xfrm>
                      <a:off x="0" y="0"/>
                      <a:ext cx="12600305" cy="87128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23811" w:h="16838" w:orient="landscape"/>
      <w:pgMar w:top="1800" w:right="1860" w:bottom="1800" w:left="153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7B2C4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D5C30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D5C30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3B7C7B"/>
    <w:multiLevelType w:val="singleLevel"/>
    <w:tmpl w:val="3A3B7C7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50747B8B"/>
    <w:multiLevelType w:val="singleLevel"/>
    <w:tmpl w:val="50747B8B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hOGM3NDdkYjMxMmY3N2IwMDNlNTY4NWMxOGRhNWIifQ=="/>
  </w:docVars>
  <w:rsids>
    <w:rsidRoot w:val="2E8F04C4"/>
    <w:rsid w:val="00033A59"/>
    <w:rsid w:val="000853CF"/>
    <w:rsid w:val="000D30C1"/>
    <w:rsid w:val="001778D0"/>
    <w:rsid w:val="00291A5F"/>
    <w:rsid w:val="00377076"/>
    <w:rsid w:val="003B78DC"/>
    <w:rsid w:val="00416CBC"/>
    <w:rsid w:val="004F33A5"/>
    <w:rsid w:val="0056039D"/>
    <w:rsid w:val="00597156"/>
    <w:rsid w:val="00641E35"/>
    <w:rsid w:val="00675E35"/>
    <w:rsid w:val="00782501"/>
    <w:rsid w:val="009E117A"/>
    <w:rsid w:val="009E7C4B"/>
    <w:rsid w:val="00A31BC2"/>
    <w:rsid w:val="00AA03C9"/>
    <w:rsid w:val="00C33FB7"/>
    <w:rsid w:val="00D10FB1"/>
    <w:rsid w:val="00D30B06"/>
    <w:rsid w:val="01680C8E"/>
    <w:rsid w:val="01C46C9F"/>
    <w:rsid w:val="05E46590"/>
    <w:rsid w:val="0721638A"/>
    <w:rsid w:val="07513A28"/>
    <w:rsid w:val="07762641"/>
    <w:rsid w:val="077706A0"/>
    <w:rsid w:val="07970DCB"/>
    <w:rsid w:val="08400A92"/>
    <w:rsid w:val="0B5036E2"/>
    <w:rsid w:val="0F566DED"/>
    <w:rsid w:val="116D6526"/>
    <w:rsid w:val="11B36474"/>
    <w:rsid w:val="125629DD"/>
    <w:rsid w:val="128123D2"/>
    <w:rsid w:val="12DD5216"/>
    <w:rsid w:val="14243870"/>
    <w:rsid w:val="148D505F"/>
    <w:rsid w:val="14D7452C"/>
    <w:rsid w:val="17B44FF8"/>
    <w:rsid w:val="1B3049A8"/>
    <w:rsid w:val="1C0A5D97"/>
    <w:rsid w:val="1C435CC0"/>
    <w:rsid w:val="1D4D5CD3"/>
    <w:rsid w:val="22A85759"/>
    <w:rsid w:val="230050D1"/>
    <w:rsid w:val="24853FA4"/>
    <w:rsid w:val="24A63930"/>
    <w:rsid w:val="261D2B36"/>
    <w:rsid w:val="27751365"/>
    <w:rsid w:val="29DB6414"/>
    <w:rsid w:val="2E8F04C4"/>
    <w:rsid w:val="2F7215C9"/>
    <w:rsid w:val="323E2C6D"/>
    <w:rsid w:val="342C61EA"/>
    <w:rsid w:val="35697141"/>
    <w:rsid w:val="376E2676"/>
    <w:rsid w:val="389425B0"/>
    <w:rsid w:val="38F166B0"/>
    <w:rsid w:val="3D023F8C"/>
    <w:rsid w:val="41D05434"/>
    <w:rsid w:val="42AD6204"/>
    <w:rsid w:val="45010FCD"/>
    <w:rsid w:val="46FD57C4"/>
    <w:rsid w:val="4703102D"/>
    <w:rsid w:val="47794E4B"/>
    <w:rsid w:val="48E70F05"/>
    <w:rsid w:val="4A43328B"/>
    <w:rsid w:val="4A6718D3"/>
    <w:rsid w:val="4BDA4326"/>
    <w:rsid w:val="595B4CF8"/>
    <w:rsid w:val="59CF1242"/>
    <w:rsid w:val="5EE502EA"/>
    <w:rsid w:val="606424E0"/>
    <w:rsid w:val="60CB6B45"/>
    <w:rsid w:val="61977681"/>
    <w:rsid w:val="65995376"/>
    <w:rsid w:val="6790033C"/>
    <w:rsid w:val="68855DCE"/>
    <w:rsid w:val="68D93544"/>
    <w:rsid w:val="6D48513C"/>
    <w:rsid w:val="6EE113A4"/>
    <w:rsid w:val="6FC3321A"/>
    <w:rsid w:val="70E869EB"/>
    <w:rsid w:val="71364D91"/>
    <w:rsid w:val="72F12142"/>
    <w:rsid w:val="72F773E8"/>
    <w:rsid w:val="76377AFB"/>
    <w:rsid w:val="76A03429"/>
    <w:rsid w:val="77901BB9"/>
    <w:rsid w:val="7A431165"/>
    <w:rsid w:val="7A6A04A0"/>
    <w:rsid w:val="7A7B2887"/>
    <w:rsid w:val="7CB80FA0"/>
    <w:rsid w:val="7CE704CD"/>
    <w:rsid w:val="7D850608"/>
    <w:rsid w:val="7DBB1012"/>
    <w:rsid w:val="7DF95ED1"/>
    <w:rsid w:val="7E092780"/>
    <w:rsid w:val="7E8D19C5"/>
    <w:rsid w:val="7FF2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宋体" w:hAnsi="Times New Roman" w:cs="宋体"/>
      <w:kern w:val="0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unhideWhenUsed/>
    <w:qFormat/>
    <w:uiPriority w:val="39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Body Text First Indent"/>
    <w:basedOn w:val="2"/>
    <w:qFormat/>
    <w:uiPriority w:val="0"/>
    <w:pPr>
      <w:autoSpaceDE/>
      <w:autoSpaceDN/>
      <w:adjustRightInd/>
      <w:spacing w:after="120"/>
      <w:ind w:firstLine="420" w:firstLineChars="100"/>
    </w:pPr>
    <w:rPr>
      <w:rFonts w:ascii="Times New Roman"/>
      <w:kern w:val="2"/>
      <w:sz w:val="21"/>
    </w:rPr>
  </w:style>
  <w:style w:type="paragraph" w:customStyle="1" w:styleId="11">
    <w:name w:val="Char1"/>
    <w:basedOn w:val="1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883</Words>
  <Characters>1026</Characters>
  <Lines>9</Lines>
  <Paragraphs>2</Paragraphs>
  <TotalTime>13</TotalTime>
  <ScaleCrop>false</ScaleCrop>
  <LinksUpToDate>false</LinksUpToDate>
  <CharactersWithSpaces>1084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2022-05-06T06:18:00Z</dcterms:created>
  <dc:creator>Administrator</dc:creator>
  <cp:lastModifiedBy>Narcissus</cp:lastModifiedBy>
  <dcterms:modified xsi:type="dcterms:W3CDTF">2025-05-16T01:29:24Z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3C101246DB9D42659FB81786F646E1DE_13</vt:lpwstr>
  </property>
  <property fmtid="{D5CDD505-2E9C-101B-9397-08002B2CF9AE}" pid="4" name="KSOTemplateDocerSaveRecord">
    <vt:lpwstr>eyJoZGlkIjoiNWFmZDk1N2QxMzUxZWE2NGM0MmQ0NzI5YTU4NDBhZTEiLCJ1c2VySWQiOiI0MTE0MTQ0OTEifQ==</vt:lpwstr>
  </property>
</Properties>
</file>