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cs="仿宋_GB2312"/>
          <w:b/>
          <w:bCs/>
          <w:sz w:val="32"/>
          <w:szCs w:val="28"/>
        </w:rPr>
      </w:pPr>
      <w:r>
        <w:rPr>
          <w:rFonts w:hint="eastAsia" w:ascii="黑体" w:hAnsi="黑体" w:eastAsia="黑体" w:cs="仿宋_GB2312"/>
          <w:sz w:val="32"/>
          <w:szCs w:val="28"/>
        </w:rPr>
        <w:t>附件6</w:t>
      </w:r>
    </w:p>
    <w:p>
      <w:pPr>
        <w:spacing w:line="578" w:lineRule="exact"/>
        <w:jc w:val="center"/>
        <w:rPr>
          <w:rFonts w:ascii="仿宋" w:hAnsi="仿宋" w:eastAsia="仿宋"/>
          <w:b/>
          <w:bCs/>
          <w:sz w:val="44"/>
          <w:szCs w:val="44"/>
        </w:rPr>
      </w:pPr>
    </w:p>
    <w:p>
      <w:pPr>
        <w:spacing w:line="578" w:lineRule="exact"/>
        <w:jc w:val="center"/>
        <w:rPr>
          <w:rFonts w:ascii="方正小标宋简体" w:hAnsi="方正小标宋简体" w:eastAsia="方正小标宋简体"/>
          <w:sz w:val="44"/>
          <w:szCs w:val="44"/>
        </w:rPr>
      </w:pPr>
      <w:r>
        <w:rPr>
          <w:rFonts w:hint="eastAsia" w:ascii="方正小标宋简体" w:hAnsi="方正小标宋简体" w:eastAsia="方正小标宋简体" w:cs="方正小标宋简体"/>
          <w:sz w:val="44"/>
          <w:szCs w:val="44"/>
        </w:rPr>
        <w:t>部门评价报告</w:t>
      </w:r>
    </w:p>
    <w:p>
      <w:pPr>
        <w:spacing w:line="578" w:lineRule="exact"/>
        <w:rPr>
          <w:rFonts w:ascii="仿宋" w:hAnsi="仿宋" w:eastAsia="仿宋"/>
          <w:szCs w:val="32"/>
        </w:rPr>
      </w:pPr>
    </w:p>
    <w:p>
      <w:pPr>
        <w:spacing w:line="578" w:lineRule="exact"/>
        <w:rPr>
          <w:rFonts w:ascii="仿宋" w:hAnsi="仿宋" w:eastAsia="仿宋" w:cs="仿宋"/>
          <w:sz w:val="28"/>
          <w:szCs w:val="32"/>
          <w:u w:val="single"/>
        </w:rPr>
      </w:pPr>
      <w:r>
        <w:rPr>
          <w:rFonts w:hint="eastAsia" w:ascii="仿宋" w:hAnsi="仿宋" w:eastAsia="仿宋" w:cs="仿宋"/>
          <w:szCs w:val="32"/>
        </w:rPr>
        <w:t xml:space="preserve">         </w:t>
      </w:r>
      <w:r>
        <w:rPr>
          <w:rFonts w:hint="eastAsia" w:ascii="仿宋" w:hAnsi="仿宋" w:eastAsia="仿宋" w:cs="仿宋"/>
          <w:sz w:val="28"/>
          <w:szCs w:val="32"/>
        </w:rPr>
        <w:t>评价类型：</w:t>
      </w:r>
      <w:r>
        <w:rPr>
          <w:rFonts w:hint="eastAsia" w:ascii="仿宋" w:hAnsi="仿宋" w:eastAsia="仿宋" w:cs="仿宋"/>
          <w:spacing w:val="-20"/>
          <w:sz w:val="28"/>
          <w:szCs w:val="32"/>
          <w:u w:val="single"/>
        </w:rPr>
        <w:t>□</w:t>
      </w:r>
      <w:r>
        <w:rPr>
          <w:rFonts w:hint="eastAsia" w:ascii="仿宋" w:hAnsi="仿宋" w:eastAsia="仿宋" w:cs="仿宋"/>
          <w:sz w:val="28"/>
          <w:szCs w:val="32"/>
          <w:u w:val="single"/>
        </w:rPr>
        <w:t>实施过程评价</w:t>
      </w:r>
      <w:r>
        <w:rPr>
          <w:rFonts w:hint="eastAsia" w:ascii="仿宋" w:hAnsi="仿宋" w:eastAsia="仿宋" w:cs="仿宋"/>
          <w:sz w:val="28"/>
          <w:szCs w:val="32"/>
        </w:rPr>
        <w:t xml:space="preserve">          </w:t>
      </w:r>
      <w:r>
        <w:rPr>
          <w:rFonts w:hint="eastAsia" w:ascii="仿宋" w:hAnsi="仿宋" w:eastAsia="仿宋" w:cs="仿宋"/>
          <w:spacing w:val="-20"/>
          <w:sz w:val="28"/>
          <w:szCs w:val="32"/>
          <w:u w:val="single"/>
        </w:rPr>
        <w:t>□</w:t>
      </w:r>
      <w:r>
        <w:rPr>
          <w:rFonts w:hint="eastAsia" w:ascii="仿宋" w:hAnsi="仿宋" w:eastAsia="仿宋" w:cs="仿宋"/>
          <w:sz w:val="28"/>
          <w:szCs w:val="32"/>
          <w:u w:val="single"/>
        </w:rPr>
        <w:t>完成结果评价</w:t>
      </w:r>
    </w:p>
    <w:p>
      <w:pPr>
        <w:spacing w:line="578" w:lineRule="exact"/>
        <w:rPr>
          <w:rFonts w:ascii="仿宋" w:hAnsi="仿宋" w:eastAsia="仿宋" w:cs="仿宋"/>
          <w:sz w:val="28"/>
          <w:szCs w:val="32"/>
        </w:rPr>
      </w:pPr>
      <w:r>
        <w:rPr>
          <w:rFonts w:hint="eastAsia" w:ascii="仿宋" w:hAnsi="仿宋" w:eastAsia="仿宋" w:cs="仿宋"/>
          <w:sz w:val="28"/>
          <w:szCs w:val="32"/>
        </w:rPr>
        <w:t xml:space="preserve">       项目名称： </w:t>
      </w:r>
      <w:r>
        <w:rPr>
          <w:rFonts w:hint="eastAsia" w:ascii="仿宋" w:hAnsi="仿宋" w:eastAsia="仿宋" w:cs="仿宋"/>
          <w:sz w:val="28"/>
          <w:szCs w:val="32"/>
          <w:u w:val="single"/>
        </w:rPr>
        <w:t xml:space="preserve">公共文化服务体系建设资金                                    </w:t>
      </w:r>
    </w:p>
    <w:p>
      <w:pPr>
        <w:spacing w:line="578" w:lineRule="exact"/>
        <w:rPr>
          <w:rFonts w:ascii="仿宋" w:hAnsi="仿宋" w:eastAsia="仿宋" w:cs="仿宋"/>
          <w:sz w:val="28"/>
          <w:szCs w:val="32"/>
        </w:rPr>
      </w:pPr>
      <w:r>
        <w:rPr>
          <w:rFonts w:hint="eastAsia" w:ascii="仿宋" w:hAnsi="仿宋" w:eastAsia="仿宋" w:cs="仿宋"/>
          <w:sz w:val="28"/>
          <w:szCs w:val="32"/>
        </w:rPr>
        <w:t xml:space="preserve">       项目单位： </w:t>
      </w:r>
      <w:r>
        <w:rPr>
          <w:rFonts w:hint="eastAsia" w:ascii="仿宋" w:hAnsi="仿宋" w:eastAsia="仿宋" w:cs="仿宋"/>
          <w:sz w:val="28"/>
          <w:szCs w:val="32"/>
          <w:u w:val="single"/>
        </w:rPr>
        <w:t xml:space="preserve"> 渝水区文广新旅局                                     </w:t>
      </w:r>
    </w:p>
    <w:p>
      <w:pPr>
        <w:spacing w:line="578" w:lineRule="exact"/>
        <w:rPr>
          <w:rFonts w:ascii="仿宋" w:hAnsi="仿宋" w:eastAsia="仿宋" w:cs="仿宋"/>
          <w:sz w:val="28"/>
          <w:szCs w:val="32"/>
        </w:rPr>
      </w:pPr>
      <w:r>
        <w:rPr>
          <w:rFonts w:hint="eastAsia" w:ascii="仿宋" w:hAnsi="仿宋" w:eastAsia="仿宋" w:cs="仿宋"/>
          <w:sz w:val="28"/>
          <w:szCs w:val="32"/>
        </w:rPr>
        <w:t xml:space="preserve">       主管部门： </w:t>
      </w:r>
      <w:r>
        <w:rPr>
          <w:rFonts w:hint="eastAsia" w:ascii="仿宋" w:hAnsi="仿宋" w:eastAsia="仿宋" w:cs="仿宋"/>
          <w:sz w:val="28"/>
          <w:szCs w:val="32"/>
          <w:u w:val="single"/>
        </w:rPr>
        <w:t xml:space="preserve"> 渝水区文广新旅局                                     </w:t>
      </w:r>
      <w:r>
        <w:rPr>
          <w:rFonts w:hint="eastAsia" w:ascii="仿宋" w:hAnsi="仿宋" w:eastAsia="仿宋" w:cs="仿宋"/>
          <w:sz w:val="28"/>
          <w:szCs w:val="32"/>
        </w:rPr>
        <w:t xml:space="preserve">  </w:t>
      </w:r>
    </w:p>
    <w:p>
      <w:pPr>
        <w:spacing w:line="578" w:lineRule="exact"/>
        <w:rPr>
          <w:rFonts w:ascii="仿宋" w:hAnsi="仿宋" w:eastAsia="仿宋" w:cs="仿宋"/>
          <w:sz w:val="28"/>
          <w:szCs w:val="32"/>
        </w:rPr>
      </w:pPr>
      <w:r>
        <w:rPr>
          <w:rFonts w:hint="eastAsia" w:ascii="仿宋" w:hAnsi="仿宋" w:eastAsia="仿宋" w:cs="仿宋"/>
          <w:sz w:val="28"/>
          <w:szCs w:val="32"/>
        </w:rPr>
        <w:t xml:space="preserve">       评价时间： </w:t>
      </w:r>
      <w:r>
        <w:rPr>
          <w:rFonts w:hint="eastAsia" w:ascii="仿宋" w:hAnsi="仿宋" w:eastAsia="仿宋" w:cs="仿宋"/>
          <w:sz w:val="28"/>
          <w:szCs w:val="32"/>
          <w:u w:val="single"/>
        </w:rPr>
        <w:t xml:space="preserve"> 202</w:t>
      </w:r>
      <w:r>
        <w:rPr>
          <w:rFonts w:hint="eastAsia" w:ascii="仿宋" w:hAnsi="仿宋" w:eastAsia="仿宋" w:cs="仿宋"/>
          <w:sz w:val="28"/>
          <w:szCs w:val="32"/>
          <w:u w:val="single"/>
          <w:lang w:val="en-US" w:eastAsia="zh-CN"/>
        </w:rPr>
        <w:t>3</w:t>
      </w:r>
      <w:r>
        <w:rPr>
          <w:rFonts w:hint="eastAsia" w:ascii="仿宋" w:hAnsi="仿宋" w:eastAsia="仿宋" w:cs="仿宋"/>
          <w:sz w:val="28"/>
          <w:szCs w:val="32"/>
          <w:u w:val="single"/>
        </w:rPr>
        <w:t>年1月 1日至 202</w:t>
      </w:r>
      <w:r>
        <w:rPr>
          <w:rFonts w:hint="eastAsia" w:ascii="仿宋" w:hAnsi="仿宋" w:eastAsia="仿宋" w:cs="仿宋"/>
          <w:sz w:val="28"/>
          <w:szCs w:val="32"/>
          <w:u w:val="single"/>
          <w:lang w:val="en-US" w:eastAsia="zh-CN"/>
        </w:rPr>
        <w:t>3</w:t>
      </w:r>
      <w:r>
        <w:rPr>
          <w:rFonts w:hint="eastAsia" w:ascii="仿宋" w:hAnsi="仿宋" w:eastAsia="仿宋" w:cs="仿宋"/>
          <w:sz w:val="28"/>
          <w:szCs w:val="32"/>
          <w:u w:val="single"/>
        </w:rPr>
        <w:t>年12月 31 日</w:t>
      </w:r>
    </w:p>
    <w:p>
      <w:pPr>
        <w:spacing w:line="578" w:lineRule="exact"/>
        <w:rPr>
          <w:rFonts w:ascii="仿宋" w:hAnsi="仿宋" w:eastAsia="仿宋" w:cs="仿宋"/>
          <w:sz w:val="28"/>
          <w:szCs w:val="32"/>
          <w:u w:val="single"/>
        </w:rPr>
      </w:pPr>
      <w:r>
        <w:rPr>
          <w:rFonts w:hint="eastAsia" w:ascii="仿宋" w:hAnsi="仿宋" w:eastAsia="仿宋" w:cs="仿宋"/>
          <w:sz w:val="28"/>
          <w:szCs w:val="32"/>
        </w:rPr>
        <w:t xml:space="preserve">       组织方式：</w:t>
      </w:r>
      <w:r>
        <w:rPr>
          <w:rFonts w:hint="eastAsia" w:ascii="仿宋" w:hAnsi="仿宋" w:eastAsia="仿宋" w:cs="仿宋"/>
          <w:spacing w:val="-20"/>
          <w:sz w:val="28"/>
          <w:szCs w:val="32"/>
          <w:u w:val="single"/>
        </w:rPr>
        <w:t>□</w:t>
      </w:r>
      <w:r>
        <w:rPr>
          <w:rFonts w:hint="eastAsia" w:ascii="仿宋" w:hAnsi="仿宋" w:eastAsia="仿宋" w:cs="仿宋"/>
          <w:sz w:val="28"/>
          <w:szCs w:val="32"/>
          <w:u w:val="single"/>
        </w:rPr>
        <w:t xml:space="preserve">财政部门 </w:t>
      </w:r>
      <w:r>
        <w:rPr>
          <w:rFonts w:hint="eastAsia" w:ascii="仿宋" w:hAnsi="仿宋" w:eastAsia="仿宋" w:cs="仿宋"/>
          <w:sz w:val="28"/>
          <w:szCs w:val="32"/>
        </w:rPr>
        <w:t xml:space="preserve">    </w:t>
      </w:r>
      <w:r>
        <w:rPr>
          <w:rFonts w:hint="eastAsia" w:ascii="仿宋" w:hAnsi="仿宋" w:eastAsia="仿宋" w:cs="仿宋"/>
          <w:spacing w:val="-20"/>
          <w:sz w:val="28"/>
          <w:szCs w:val="32"/>
          <w:u w:val="single"/>
        </w:rPr>
        <w:t>√</w:t>
      </w:r>
      <w:r>
        <w:rPr>
          <w:rFonts w:hint="eastAsia" w:ascii="仿宋" w:hAnsi="仿宋" w:eastAsia="仿宋" w:cs="仿宋"/>
          <w:sz w:val="28"/>
          <w:szCs w:val="32"/>
          <w:u w:val="single"/>
        </w:rPr>
        <w:t>主管部门</w:t>
      </w:r>
      <w:r>
        <w:rPr>
          <w:rFonts w:hint="eastAsia" w:ascii="仿宋" w:hAnsi="仿宋" w:eastAsia="仿宋" w:cs="仿宋"/>
          <w:sz w:val="28"/>
          <w:szCs w:val="32"/>
        </w:rPr>
        <w:t xml:space="preserve">     </w:t>
      </w:r>
      <w:r>
        <w:rPr>
          <w:rFonts w:hint="eastAsia" w:ascii="仿宋" w:hAnsi="仿宋" w:eastAsia="仿宋" w:cs="仿宋"/>
          <w:spacing w:val="-20"/>
          <w:sz w:val="28"/>
          <w:szCs w:val="32"/>
          <w:u w:val="single"/>
        </w:rPr>
        <w:t>□</w:t>
      </w:r>
      <w:r>
        <w:rPr>
          <w:rFonts w:hint="eastAsia" w:ascii="仿宋" w:hAnsi="仿宋" w:eastAsia="仿宋" w:cs="仿宋"/>
          <w:sz w:val="28"/>
          <w:szCs w:val="32"/>
          <w:u w:val="single"/>
        </w:rPr>
        <w:t>项目单位</w:t>
      </w:r>
    </w:p>
    <w:p>
      <w:pPr>
        <w:spacing w:line="578" w:lineRule="exact"/>
        <w:rPr>
          <w:rFonts w:ascii="仿宋" w:hAnsi="仿宋" w:eastAsia="仿宋" w:cs="仿宋"/>
          <w:sz w:val="28"/>
          <w:szCs w:val="32"/>
        </w:rPr>
      </w:pPr>
      <w:r>
        <w:rPr>
          <w:rFonts w:hint="eastAsia" w:ascii="仿宋" w:hAnsi="仿宋" w:eastAsia="仿宋" w:cs="仿宋"/>
          <w:sz w:val="28"/>
          <w:szCs w:val="32"/>
        </w:rPr>
        <w:t xml:space="preserve">       评价机构：</w:t>
      </w:r>
      <w:r>
        <w:rPr>
          <w:rFonts w:hint="eastAsia" w:ascii="仿宋" w:hAnsi="仿宋" w:eastAsia="仿宋" w:cs="仿宋"/>
          <w:spacing w:val="-20"/>
          <w:sz w:val="28"/>
          <w:szCs w:val="32"/>
          <w:u w:val="single"/>
        </w:rPr>
        <w:t>□</w:t>
      </w:r>
      <w:r>
        <w:rPr>
          <w:rFonts w:hint="eastAsia" w:ascii="仿宋" w:hAnsi="仿宋" w:eastAsia="仿宋" w:cs="仿宋"/>
          <w:sz w:val="28"/>
          <w:szCs w:val="32"/>
          <w:u w:val="single"/>
        </w:rPr>
        <w:t xml:space="preserve">第三方机构 </w:t>
      </w:r>
      <w:r>
        <w:rPr>
          <w:rFonts w:hint="eastAsia" w:ascii="仿宋" w:hAnsi="仿宋" w:eastAsia="仿宋" w:cs="仿宋"/>
          <w:sz w:val="28"/>
          <w:szCs w:val="32"/>
        </w:rPr>
        <w:t xml:space="preserve">  </w:t>
      </w:r>
      <w:r>
        <w:rPr>
          <w:rFonts w:hint="eastAsia" w:ascii="仿宋" w:hAnsi="仿宋" w:eastAsia="仿宋" w:cs="仿宋"/>
          <w:spacing w:val="-20"/>
          <w:sz w:val="28"/>
          <w:szCs w:val="32"/>
          <w:u w:val="single"/>
        </w:rPr>
        <w:t>□</w:t>
      </w:r>
      <w:r>
        <w:rPr>
          <w:rFonts w:hint="eastAsia" w:ascii="仿宋" w:hAnsi="仿宋" w:eastAsia="仿宋" w:cs="仿宋"/>
          <w:sz w:val="28"/>
          <w:szCs w:val="32"/>
          <w:u w:val="single"/>
        </w:rPr>
        <w:t xml:space="preserve">专家组 </w:t>
      </w:r>
      <w:r>
        <w:rPr>
          <w:rFonts w:hint="eastAsia" w:ascii="仿宋" w:hAnsi="仿宋" w:eastAsia="仿宋" w:cs="仿宋"/>
          <w:sz w:val="28"/>
          <w:szCs w:val="32"/>
        </w:rPr>
        <w:t xml:space="preserve">  </w:t>
      </w:r>
      <w:r>
        <w:rPr>
          <w:rFonts w:hint="eastAsia" w:ascii="仿宋" w:hAnsi="仿宋" w:eastAsia="仿宋" w:cs="仿宋"/>
          <w:spacing w:val="-20"/>
          <w:sz w:val="28"/>
          <w:szCs w:val="32"/>
          <w:u w:val="single"/>
        </w:rPr>
        <w:t>√</w:t>
      </w:r>
      <w:r>
        <w:rPr>
          <w:rFonts w:hint="eastAsia" w:ascii="仿宋" w:hAnsi="仿宋" w:eastAsia="仿宋" w:cs="仿宋"/>
          <w:sz w:val="28"/>
          <w:szCs w:val="32"/>
          <w:u w:val="single"/>
        </w:rPr>
        <w:t>项目单位评价组</w:t>
      </w:r>
    </w:p>
    <w:p>
      <w:pPr>
        <w:spacing w:line="578" w:lineRule="exact"/>
        <w:ind w:left="1100" w:hanging="1100" w:hangingChars="500"/>
        <w:rPr>
          <w:rFonts w:ascii="仿宋" w:hAnsi="仿宋" w:eastAsia="仿宋" w:cs="仿宋"/>
          <w:sz w:val="28"/>
          <w:szCs w:val="32"/>
        </w:rPr>
      </w:pPr>
      <w:r>
        <w:rPr>
          <w:rFonts w:hint="eastAsia" w:ascii="仿宋" w:hAnsi="仿宋" w:eastAsia="仿宋" w:cs="仿宋"/>
          <w:szCs w:val="32"/>
        </w:rPr>
        <w:t xml:space="preserve">         </w:t>
      </w:r>
      <w:r>
        <w:rPr>
          <w:rFonts w:hint="eastAsia" w:ascii="仿宋" w:hAnsi="仿宋" w:eastAsia="仿宋" w:cs="仿宋"/>
          <w:sz w:val="28"/>
          <w:szCs w:val="32"/>
        </w:rPr>
        <w:t>评价单位（盖章）：渝水区文广新旅局</w:t>
      </w:r>
    </w:p>
    <w:p>
      <w:pPr>
        <w:spacing w:line="578" w:lineRule="exact"/>
        <w:ind w:left="1400" w:hanging="1400" w:hangingChars="500"/>
        <w:rPr>
          <w:rFonts w:ascii="仿宋" w:hAnsi="仿宋" w:eastAsia="仿宋" w:cs="仿宋"/>
          <w:sz w:val="28"/>
          <w:szCs w:val="32"/>
        </w:rPr>
      </w:pPr>
      <w:r>
        <w:rPr>
          <w:rFonts w:hint="eastAsia" w:ascii="仿宋" w:hAnsi="仿宋" w:eastAsia="仿宋" w:cs="仿宋"/>
          <w:sz w:val="28"/>
          <w:szCs w:val="32"/>
        </w:rPr>
        <w:t xml:space="preserve">           上报时间：202</w:t>
      </w:r>
      <w:r>
        <w:rPr>
          <w:rFonts w:hint="eastAsia" w:ascii="仿宋" w:hAnsi="仿宋" w:eastAsia="仿宋" w:cs="仿宋"/>
          <w:sz w:val="28"/>
          <w:szCs w:val="32"/>
          <w:lang w:val="en-US" w:eastAsia="zh-CN"/>
        </w:rPr>
        <w:t>4</w:t>
      </w:r>
      <w:r>
        <w:rPr>
          <w:rFonts w:hint="eastAsia" w:ascii="仿宋" w:hAnsi="仿宋" w:eastAsia="仿宋" w:cs="仿宋"/>
          <w:sz w:val="28"/>
          <w:szCs w:val="32"/>
        </w:rPr>
        <w:t>.</w:t>
      </w:r>
      <w:r>
        <w:rPr>
          <w:rFonts w:hint="eastAsia" w:ascii="仿宋" w:hAnsi="仿宋" w:eastAsia="仿宋" w:cs="仿宋"/>
          <w:sz w:val="28"/>
          <w:szCs w:val="32"/>
          <w:lang w:val="en-US" w:eastAsia="zh-CN"/>
        </w:rPr>
        <w:t>4</w:t>
      </w:r>
      <w:r>
        <w:rPr>
          <w:rFonts w:hint="eastAsia" w:ascii="仿宋" w:hAnsi="仿宋" w:eastAsia="仿宋" w:cs="仿宋"/>
          <w:sz w:val="28"/>
          <w:szCs w:val="32"/>
        </w:rPr>
        <w:t>.15</w:t>
      </w:r>
    </w:p>
    <w:p>
      <w:pPr>
        <w:spacing w:line="400" w:lineRule="exact"/>
        <w:rPr>
          <w:rFonts w:ascii="仿宋" w:hAnsi="仿宋" w:eastAsia="仿宋" w:cs="仿宋"/>
          <w:szCs w:val="32"/>
        </w:rPr>
      </w:pPr>
    </w:p>
    <w:p>
      <w:pPr>
        <w:jc w:val="center"/>
        <w:rPr>
          <w:rFonts w:ascii="仿宋" w:hAnsi="仿宋" w:eastAsia="仿宋" w:cs="仿宋"/>
          <w:szCs w:val="32"/>
        </w:rPr>
      </w:pPr>
      <w:r>
        <w:rPr>
          <w:rFonts w:hint="eastAsia" w:ascii="仿宋" w:hAnsi="仿宋" w:eastAsia="仿宋" w:cs="仿宋"/>
          <w:szCs w:val="32"/>
        </w:rPr>
        <w:br w:type="page"/>
      </w:r>
    </w:p>
    <w:p>
      <w:pPr>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渝水区文广新旅局202</w:t>
      </w:r>
      <w:r>
        <w:rPr>
          <w:rFonts w:hint="eastAsia" w:ascii="方正小标宋简体" w:hAnsi="方正小标宋简体" w:eastAsia="方正小标宋简体" w:cs="方正小标宋简体"/>
          <w:sz w:val="44"/>
          <w:szCs w:val="44"/>
          <w:lang w:val="en-US" w:eastAsia="zh-CN"/>
        </w:rPr>
        <w:t>3</w:t>
      </w:r>
      <w:r>
        <w:rPr>
          <w:rFonts w:hint="eastAsia" w:ascii="方正小标宋简体" w:hAnsi="方正小标宋简体" w:eastAsia="方正小标宋简体" w:cs="方正小标宋简体"/>
          <w:sz w:val="44"/>
          <w:szCs w:val="44"/>
        </w:rPr>
        <w:t>年部门评价报告</w:t>
      </w:r>
    </w:p>
    <w:p>
      <w:pPr>
        <w:jc w:val="center"/>
        <w:rPr>
          <w:rFonts w:ascii="楷体" w:hAnsi="楷体" w:eastAsia="楷体" w:cs="方正小标宋简体"/>
          <w:sz w:val="32"/>
          <w:szCs w:val="32"/>
        </w:rPr>
      </w:pPr>
      <w:r>
        <w:rPr>
          <w:rFonts w:hint="eastAsia" w:ascii="楷体" w:hAnsi="楷体" w:eastAsia="楷体" w:cs="方正小标宋简体"/>
          <w:sz w:val="32"/>
          <w:szCs w:val="32"/>
        </w:rPr>
        <w:t>（</w:t>
      </w:r>
      <w:r>
        <w:rPr>
          <w:rFonts w:hint="eastAsia" w:ascii="楷体" w:hAnsi="楷体" w:eastAsia="楷体"/>
          <w:sz w:val="32"/>
          <w:szCs w:val="32"/>
        </w:rPr>
        <w:t>公共文化服务体系建设资金</w:t>
      </w:r>
      <w:r>
        <w:rPr>
          <w:rFonts w:hint="eastAsia" w:ascii="楷体" w:hAnsi="楷体" w:eastAsia="楷体" w:cs="方正小标宋简体"/>
          <w:sz w:val="32"/>
          <w:szCs w:val="32"/>
        </w:rPr>
        <w:t>）</w:t>
      </w:r>
    </w:p>
    <w:p>
      <w:pPr>
        <w:spacing w:after="0" w:line="600" w:lineRule="exact"/>
        <w:ind w:firstLine="640" w:firstLineChars="200"/>
        <w:jc w:val="both"/>
        <w:rPr>
          <w:rFonts w:ascii="黑体" w:hAnsi="黑体" w:eastAsia="黑体"/>
          <w:sz w:val="32"/>
          <w:szCs w:val="32"/>
        </w:rPr>
      </w:pPr>
      <w:r>
        <w:rPr>
          <w:rFonts w:hint="eastAsia" w:ascii="黑体" w:hAnsi="黑体" w:eastAsia="黑体"/>
          <w:sz w:val="32"/>
          <w:szCs w:val="32"/>
        </w:rPr>
        <w:t>一、基本情况</w:t>
      </w:r>
    </w:p>
    <w:p>
      <w:pPr>
        <w:spacing w:after="0" w:line="600" w:lineRule="exact"/>
        <w:ind w:firstLine="643" w:firstLineChars="200"/>
        <w:jc w:val="both"/>
        <w:rPr>
          <w:rFonts w:ascii="楷体" w:hAnsi="楷体" w:eastAsia="楷体"/>
          <w:b/>
          <w:sz w:val="32"/>
          <w:szCs w:val="32"/>
        </w:rPr>
      </w:pPr>
      <w:r>
        <w:rPr>
          <w:rFonts w:hint="eastAsia" w:ascii="楷体" w:hAnsi="楷体" w:eastAsia="楷体"/>
          <w:b/>
          <w:sz w:val="32"/>
          <w:szCs w:val="32"/>
        </w:rPr>
        <w:t>（一）项目概况。包括项目背景、主要内容及实施情况、资金投入和使用情况等。</w:t>
      </w:r>
    </w:p>
    <w:p>
      <w:pPr>
        <w:spacing w:after="0" w:line="600" w:lineRule="exact"/>
        <w:ind w:firstLine="643" w:firstLineChars="200"/>
        <w:jc w:val="both"/>
        <w:rPr>
          <w:rFonts w:ascii="仿宋" w:hAnsi="仿宋" w:eastAsia="仿宋"/>
          <w:b/>
          <w:sz w:val="32"/>
          <w:szCs w:val="32"/>
        </w:rPr>
      </w:pPr>
      <w:r>
        <w:rPr>
          <w:rFonts w:hint="eastAsia" w:ascii="仿宋" w:hAnsi="仿宋" w:eastAsia="仿宋"/>
          <w:b/>
          <w:sz w:val="32"/>
          <w:szCs w:val="32"/>
        </w:rPr>
        <w:t>1.项目背景</w:t>
      </w:r>
    </w:p>
    <w:p>
      <w:pPr>
        <w:spacing w:after="0" w:line="600" w:lineRule="exact"/>
        <w:ind w:firstLine="640" w:firstLineChars="200"/>
        <w:jc w:val="both"/>
        <w:rPr>
          <w:rFonts w:ascii="仿宋" w:hAnsi="仿宋" w:eastAsia="仿宋"/>
          <w:sz w:val="32"/>
          <w:szCs w:val="32"/>
        </w:rPr>
      </w:pPr>
      <w:r>
        <w:rPr>
          <w:rFonts w:hint="eastAsia" w:ascii="仿宋" w:hAnsi="仿宋" w:eastAsia="仿宋"/>
          <w:sz w:val="32"/>
          <w:szCs w:val="32"/>
        </w:rPr>
        <w:t>公共文化服务体系建设是满足人民群众基本精神文化需求的主要途径，是建设社会主义文化强国的基础工程，是全面建成小康社会的重要内容。为加快构建现代公共文化服务体系，促进基本公共文化服务标准化均等化，保障群众基本文化权益,提高公共文化服务效能,根据中办、国办印发《关于加快构建现代公共文化服务体系的意见》、《国家基本公共文化服务指导标准》，《江西省财政厅关于提前下达202</w:t>
      </w:r>
      <w:r>
        <w:rPr>
          <w:rFonts w:hint="eastAsia" w:ascii="仿宋" w:hAnsi="仿宋" w:eastAsia="仿宋"/>
          <w:sz w:val="32"/>
          <w:szCs w:val="32"/>
          <w:lang w:val="en-US" w:eastAsia="zh-CN"/>
        </w:rPr>
        <w:t>3</w:t>
      </w:r>
      <w:r>
        <w:rPr>
          <w:rFonts w:hint="eastAsia" w:ascii="仿宋" w:hAnsi="仿宋" w:eastAsia="仿宋"/>
          <w:sz w:val="32"/>
          <w:szCs w:val="32"/>
        </w:rPr>
        <w:t>年中央和省级公共文化服务体系补助资金预算的通知》（赣财文指【202</w:t>
      </w:r>
      <w:r>
        <w:rPr>
          <w:rFonts w:hint="eastAsia" w:ascii="仿宋" w:hAnsi="仿宋" w:eastAsia="仿宋"/>
          <w:sz w:val="32"/>
          <w:szCs w:val="32"/>
          <w:lang w:val="en-US" w:eastAsia="zh-CN"/>
        </w:rPr>
        <w:t>2</w:t>
      </w:r>
      <w:r>
        <w:rPr>
          <w:rFonts w:hint="eastAsia" w:ascii="仿宋" w:hAnsi="仿宋" w:eastAsia="仿宋"/>
          <w:sz w:val="32"/>
          <w:szCs w:val="32"/>
        </w:rPr>
        <w:t>】</w:t>
      </w:r>
      <w:r>
        <w:rPr>
          <w:rFonts w:hint="eastAsia" w:ascii="仿宋" w:hAnsi="仿宋" w:eastAsia="仿宋"/>
          <w:sz w:val="32"/>
          <w:szCs w:val="32"/>
          <w:lang w:val="en-US" w:eastAsia="zh-CN"/>
        </w:rPr>
        <w:t>5</w:t>
      </w:r>
      <w:r>
        <w:rPr>
          <w:rFonts w:hint="eastAsia" w:ascii="仿宋" w:hAnsi="仿宋" w:eastAsia="仿宋"/>
          <w:sz w:val="32"/>
          <w:szCs w:val="32"/>
        </w:rPr>
        <w:t>6号）《江西省委办公厅江西省政府办公厅印发《关于加快构建现代公共文化服务体系的实施意见》的通知》（赣办发【2015】32号）的精神，依据省文化厅相关文件要求，经项目实施单位申报，“公共文化服务体系建设资金”项目列入我局202</w:t>
      </w:r>
      <w:r>
        <w:rPr>
          <w:rFonts w:hint="eastAsia" w:ascii="仿宋" w:hAnsi="仿宋" w:eastAsia="仿宋"/>
          <w:sz w:val="32"/>
          <w:szCs w:val="32"/>
          <w:lang w:val="en-US" w:eastAsia="zh-CN"/>
        </w:rPr>
        <w:t>3</w:t>
      </w:r>
      <w:r>
        <w:rPr>
          <w:rFonts w:hint="eastAsia" w:ascii="仿宋" w:hAnsi="仿宋" w:eastAsia="仿宋"/>
          <w:sz w:val="32"/>
          <w:szCs w:val="32"/>
        </w:rPr>
        <w:t>年预算，项目预算资金</w:t>
      </w:r>
      <w:r>
        <w:rPr>
          <w:rFonts w:hint="eastAsia" w:ascii="仿宋" w:hAnsi="仿宋" w:eastAsia="仿宋"/>
          <w:sz w:val="32"/>
          <w:szCs w:val="32"/>
          <w:lang w:val="en-US" w:eastAsia="zh-CN"/>
        </w:rPr>
        <w:t>391.77</w:t>
      </w:r>
      <w:r>
        <w:rPr>
          <w:rFonts w:hint="eastAsia" w:ascii="仿宋" w:hAnsi="仿宋" w:eastAsia="仿宋"/>
          <w:sz w:val="32"/>
          <w:szCs w:val="32"/>
        </w:rPr>
        <w:t>万元，均为省级及以上资金。</w:t>
      </w:r>
    </w:p>
    <w:p>
      <w:pPr>
        <w:spacing w:after="0" w:line="600" w:lineRule="exact"/>
        <w:ind w:firstLine="643" w:firstLineChars="200"/>
        <w:jc w:val="both"/>
        <w:rPr>
          <w:rFonts w:ascii="仿宋" w:hAnsi="仿宋" w:eastAsia="仿宋"/>
          <w:b/>
          <w:sz w:val="32"/>
          <w:szCs w:val="32"/>
        </w:rPr>
      </w:pPr>
      <w:r>
        <w:rPr>
          <w:rFonts w:hint="eastAsia" w:ascii="仿宋" w:hAnsi="仿宋" w:eastAsia="仿宋"/>
          <w:b/>
          <w:sz w:val="32"/>
          <w:szCs w:val="32"/>
        </w:rPr>
        <w:t>2. 项目主要内容及实施情况</w:t>
      </w:r>
    </w:p>
    <w:p>
      <w:pPr>
        <w:spacing w:after="0" w:line="600" w:lineRule="exact"/>
        <w:ind w:firstLine="640" w:firstLineChars="200"/>
        <w:jc w:val="both"/>
        <w:rPr>
          <w:rFonts w:ascii="仿宋_GB2312" w:eastAsia="仿宋_GB2312"/>
          <w:sz w:val="32"/>
          <w:szCs w:val="32"/>
        </w:rPr>
      </w:pPr>
      <w:r>
        <w:rPr>
          <w:rFonts w:hint="eastAsia" w:ascii="仿宋" w:hAnsi="仿宋" w:eastAsia="仿宋"/>
          <w:sz w:val="32"/>
          <w:szCs w:val="32"/>
        </w:rPr>
        <w:t>（1</w:t>
      </w:r>
      <w:r>
        <w:rPr>
          <w:rFonts w:hint="eastAsia" w:ascii="仿宋_GB2312" w:hAnsi="Calibri" w:eastAsia="仿宋_GB2312" w:cs="Times New Roman"/>
          <w:sz w:val="32"/>
          <w:szCs w:val="32"/>
        </w:rPr>
        <w:t>）公共图书馆服务体系不断完善。通过几年的努力，我区公共文化基础设施建设已逐步建立起区、乡镇（办）、行政村（社区）三级公共文化基础设施网络。</w:t>
      </w:r>
      <w:r>
        <w:rPr>
          <w:rFonts w:hint="eastAsia" w:ascii="仿宋_GB2312" w:eastAsia="仿宋_GB2312"/>
          <w:sz w:val="32"/>
          <w:szCs w:val="32"/>
        </w:rPr>
        <w:t>全区17个乡镇（办），除新组建的孔目江办事处正在选址建设综合文化站外，其余16个乡镇（办）通过新建、改建、共建等方式，均建有综合文化站，并投入使用</w:t>
      </w:r>
      <w:r>
        <w:rPr>
          <w:rFonts w:hint="eastAsia" w:ascii="仿宋_GB2312" w:hAnsi="Times New Roman" w:eastAsia="仿宋_GB2312"/>
          <w:sz w:val="32"/>
          <w:szCs w:val="32"/>
        </w:rPr>
        <w:t>，基本满足了全区公共文化服务的需求。</w:t>
      </w:r>
      <w:r>
        <w:rPr>
          <w:rFonts w:hint="eastAsia" w:ascii="仿宋_GB2312" w:eastAsia="仿宋_GB2312"/>
          <w:sz w:val="32"/>
          <w:szCs w:val="32"/>
        </w:rPr>
        <w:t>全区181个村（社区、管理处）、52个社区都建起文化活动室、文化广场和农家书屋（幸福书屋）。</w:t>
      </w:r>
    </w:p>
    <w:p>
      <w:pPr>
        <w:spacing w:after="0" w:line="600" w:lineRule="exact"/>
        <w:ind w:firstLine="640" w:firstLineChars="200"/>
        <w:jc w:val="both"/>
        <w:rPr>
          <w:rFonts w:ascii="仿宋_GB2312" w:hAnsi="Times New Roman" w:eastAsia="仿宋_GB2312"/>
          <w:sz w:val="32"/>
          <w:szCs w:val="32"/>
        </w:rPr>
      </w:pPr>
      <w:r>
        <w:rPr>
          <w:rFonts w:hint="eastAsia" w:ascii="仿宋" w:hAnsi="仿宋" w:eastAsia="仿宋"/>
          <w:sz w:val="32"/>
          <w:szCs w:val="32"/>
        </w:rPr>
        <w:t>（2）文</w:t>
      </w:r>
      <w:r>
        <w:rPr>
          <w:rFonts w:hint="eastAsia" w:ascii="仿宋_GB2312" w:eastAsia="仿宋_GB2312"/>
          <w:sz w:val="32"/>
          <w:szCs w:val="32"/>
        </w:rPr>
        <w:t>化惠民活动持续升温</w:t>
      </w:r>
      <w:r>
        <w:rPr>
          <w:rFonts w:hint="eastAsia" w:ascii="仿宋_GB2312" w:eastAsia="仿宋_GB2312"/>
          <w:b/>
          <w:sz w:val="32"/>
          <w:szCs w:val="32"/>
        </w:rPr>
        <w:t>。</w:t>
      </w:r>
      <w:r>
        <w:rPr>
          <w:rFonts w:hint="eastAsia" w:ascii="仿宋_GB2312" w:eastAsia="仿宋_GB2312"/>
          <w:sz w:val="32"/>
          <w:szCs w:val="32"/>
        </w:rPr>
        <w:t>广泛开展全区性群众文化活动，先后开</w:t>
      </w:r>
      <w:r>
        <w:rPr>
          <w:rFonts w:hint="eastAsia" w:ascii="仿宋_GB2312" w:hAnsi="Times New Roman" w:eastAsia="仿宋_GB2312"/>
          <w:sz w:val="32"/>
          <w:szCs w:val="32"/>
        </w:rPr>
        <w:t>展了</w:t>
      </w:r>
      <w:r>
        <w:rPr>
          <w:rFonts w:hint="eastAsia" w:ascii="仿宋_GB2312" w:eastAsia="仿宋_GB2312"/>
          <w:sz w:val="32"/>
          <w:szCs w:val="32"/>
        </w:rPr>
        <w:t>“百姓大舞台</w:t>
      </w:r>
      <w:r>
        <w:rPr>
          <w:rFonts w:hint="eastAsia" w:ascii="仿宋_GB2312" w:hAnsi="仿宋_GB2312" w:eastAsia="仿宋_GB2312" w:cs="仿宋_GB2312"/>
          <w:sz w:val="32"/>
          <w:szCs w:val="32"/>
        </w:rPr>
        <w:t>”</w:t>
      </w:r>
      <w:r>
        <w:rPr>
          <w:rFonts w:hint="eastAsia" w:ascii="仿宋_GB2312" w:eastAsia="仿宋_GB2312"/>
          <w:sz w:val="32"/>
          <w:szCs w:val="32"/>
        </w:rPr>
        <w:t>、</w:t>
      </w:r>
      <w:r>
        <w:rPr>
          <w:rFonts w:hint="eastAsia" w:ascii="仿宋_GB2312" w:hAnsi="Times New Roman" w:eastAsia="仿宋_GB2312"/>
          <w:sz w:val="32"/>
          <w:szCs w:val="32"/>
        </w:rPr>
        <w:t>红色文艺轻骑兵、经典诵读全民阅读大赛、广场舞大赛、传统戏曲大赛等丰富多彩的群众性文化活动</w:t>
      </w:r>
      <w:r>
        <w:rPr>
          <w:rFonts w:hint="eastAsia" w:ascii="仿宋_GB2312" w:eastAsia="仿宋_GB2312" w:cs="Times New Roman"/>
          <w:sz w:val="32"/>
          <w:szCs w:val="32"/>
        </w:rPr>
        <w:t>，</w:t>
      </w:r>
      <w:r>
        <w:rPr>
          <w:rFonts w:hint="eastAsia" w:ascii="仿宋_GB2312" w:hAnsi="Calibri" w:eastAsia="仿宋_GB2312" w:cs="Times New Roman"/>
          <w:sz w:val="32"/>
          <w:szCs w:val="32"/>
        </w:rPr>
        <w:t>极大</w:t>
      </w:r>
      <w:r>
        <w:rPr>
          <w:rFonts w:hint="eastAsia" w:ascii="仿宋_GB2312" w:eastAsia="仿宋_GB2312" w:cs="Times New Roman"/>
          <w:sz w:val="32"/>
          <w:szCs w:val="32"/>
        </w:rPr>
        <w:t>丰富</w:t>
      </w:r>
      <w:r>
        <w:rPr>
          <w:rFonts w:hint="eastAsia" w:ascii="仿宋_GB2312" w:hAnsi="Calibri" w:eastAsia="仿宋_GB2312" w:cs="Times New Roman"/>
          <w:sz w:val="32"/>
          <w:szCs w:val="32"/>
        </w:rPr>
        <w:t>了全区群众的文化生活。</w:t>
      </w:r>
      <w:r>
        <w:rPr>
          <w:rFonts w:hint="eastAsia" w:ascii="仿宋_GB2312" w:hAnsi="Times New Roman" w:eastAsia="仿宋_GB2312" w:cs="Times New Roman"/>
          <w:kern w:val="2"/>
          <w:sz w:val="32"/>
          <w:szCs w:val="32"/>
        </w:rPr>
        <w:t>开展农村三项文化活动，平均每年送戏下乡60余场、送电影下乡2600余场、送图书下乡1.5万余册，精心指导各乡镇（办）开展自办文体活动近200场。</w:t>
      </w:r>
      <w:r>
        <w:rPr>
          <w:rFonts w:hint="eastAsia" w:ascii="仿宋_GB2312" w:hAnsi="Calibri" w:eastAsia="仿宋_GB2312" w:cs="Times New Roman"/>
          <w:sz w:val="32"/>
          <w:szCs w:val="32"/>
        </w:rPr>
        <w:t>扎实做好</w:t>
      </w:r>
      <w:r>
        <w:rPr>
          <w:rFonts w:hint="eastAsia" w:ascii="仿宋_GB2312" w:eastAsia="仿宋_GB2312" w:cs="Times New Roman"/>
          <w:sz w:val="32"/>
          <w:szCs w:val="32"/>
        </w:rPr>
        <w:t>了</w:t>
      </w:r>
      <w:r>
        <w:rPr>
          <w:rFonts w:hint="eastAsia" w:ascii="仿宋_GB2312" w:hAnsi="Calibri" w:eastAsia="仿宋_GB2312" w:cs="Times New Roman"/>
          <w:sz w:val="32"/>
          <w:szCs w:val="32"/>
        </w:rPr>
        <w:t>免费开放工作</w:t>
      </w:r>
      <w:r>
        <w:rPr>
          <w:rFonts w:hint="eastAsia" w:ascii="仿宋_GB2312" w:eastAsia="仿宋_GB2312" w:cs="Times New Roman"/>
          <w:sz w:val="32"/>
          <w:szCs w:val="32"/>
        </w:rPr>
        <w:t>，</w:t>
      </w:r>
      <w:r>
        <w:rPr>
          <w:rFonts w:hint="eastAsia" w:ascii="仿宋_GB2312" w:hAnsi="Calibri" w:eastAsia="仿宋_GB2312" w:cs="Times New Roman"/>
          <w:sz w:val="32"/>
          <w:szCs w:val="32"/>
        </w:rPr>
        <w:t>区文化馆将非遗展览厅、辅导培训教室、舞蹈排练常年向公众免费开放使用</w:t>
      </w:r>
      <w:r>
        <w:rPr>
          <w:rFonts w:hint="eastAsia" w:ascii="仿宋_GB2312" w:eastAsia="仿宋_GB2312" w:cs="Times New Roman"/>
          <w:sz w:val="32"/>
          <w:szCs w:val="32"/>
        </w:rPr>
        <w:t>；</w:t>
      </w:r>
      <w:r>
        <w:rPr>
          <w:rFonts w:hint="eastAsia" w:ascii="仿宋_GB2312" w:hAnsi="Calibri" w:eastAsia="仿宋_GB2312" w:cs="Times New Roman"/>
          <w:sz w:val="32"/>
          <w:szCs w:val="32"/>
        </w:rPr>
        <w:t>区图书馆除每天周</w:t>
      </w:r>
      <w:r>
        <w:rPr>
          <w:rFonts w:hint="eastAsia" w:ascii="仿宋_GB2312" w:eastAsia="仿宋_GB2312" w:cs="Times New Roman"/>
          <w:sz w:val="32"/>
          <w:szCs w:val="32"/>
        </w:rPr>
        <w:t>一</w:t>
      </w:r>
      <w:r>
        <w:rPr>
          <w:rFonts w:hint="eastAsia" w:ascii="仿宋_GB2312" w:hAnsi="Calibri" w:eastAsia="仿宋_GB2312" w:cs="Times New Roman"/>
          <w:sz w:val="32"/>
          <w:szCs w:val="32"/>
        </w:rPr>
        <w:t>闭馆整修外，常年不分节假日地向市民开放</w:t>
      </w:r>
      <w:r>
        <w:rPr>
          <w:rFonts w:hint="eastAsia" w:ascii="仿宋_GB2312" w:eastAsia="仿宋_GB2312" w:cs="Times New Roman"/>
          <w:sz w:val="32"/>
          <w:szCs w:val="32"/>
        </w:rPr>
        <w:t>；</w:t>
      </w:r>
      <w:r>
        <w:rPr>
          <w:rFonts w:hint="eastAsia" w:ascii="仿宋_GB2312" w:eastAsia="仿宋_GB2312"/>
          <w:sz w:val="32"/>
          <w:szCs w:val="32"/>
        </w:rPr>
        <w:t>各乡镇（办）和村文化服务中心按照相关要求，</w:t>
      </w:r>
      <w:r>
        <w:rPr>
          <w:rFonts w:hint="eastAsia" w:ascii="仿宋_GB2312" w:hAnsi="Times New Roman" w:eastAsia="仿宋_GB2312"/>
          <w:sz w:val="32"/>
          <w:szCs w:val="32"/>
        </w:rPr>
        <w:t>保证了每周不少于42小时的开放时间，为群众提供了更为贴心的服务。</w:t>
      </w:r>
    </w:p>
    <w:p>
      <w:pPr>
        <w:spacing w:after="0" w:line="600" w:lineRule="exact"/>
        <w:ind w:firstLine="640" w:firstLineChars="200"/>
        <w:jc w:val="both"/>
        <w:rPr>
          <w:rFonts w:hint="eastAsia" w:ascii="仿宋_GB2312" w:hAnsi="Times New Roman" w:eastAsia="仿宋_GB2312"/>
          <w:b/>
          <w:sz w:val="32"/>
          <w:szCs w:val="32"/>
        </w:rPr>
      </w:pPr>
      <w:r>
        <w:rPr>
          <w:rFonts w:hint="eastAsia" w:ascii="仿宋_GB2312" w:hAnsi="Times New Roman" w:eastAsia="仿宋_GB2312"/>
          <w:sz w:val="32"/>
          <w:szCs w:val="32"/>
        </w:rPr>
        <w:t>（3）文化服务队伍不断健全。区文化馆、图书馆核定编制数各为5名，现在岗人数12人；各乡镇（办）都配备了1名文化站长，有的乡镇还配备了1至2名工作人员；各村级文化服务中心都配备了文化管理员，总体来说人员还是不足。全区现有备案登记的社会文艺团队300余个，为丰富全区群众业余文化生活起到了积极作用。全区成立了文化志愿者协会，现有文化志愿者人数达1000余人，根据志愿者的居住地、爱好特长等情况，全部充实到基层文明实践活动队伍中，强化了基层文化人才保障。</w:t>
      </w:r>
    </w:p>
    <w:p>
      <w:pPr>
        <w:spacing w:after="0" w:line="600" w:lineRule="exact"/>
        <w:ind w:firstLine="640" w:firstLineChars="200"/>
        <w:jc w:val="both"/>
        <w:rPr>
          <w:rFonts w:hint="eastAsia" w:ascii="仿宋" w:hAnsi="仿宋" w:eastAsia="仿宋" w:cs="宋体"/>
          <w:sz w:val="32"/>
          <w:szCs w:val="32"/>
        </w:rPr>
      </w:pPr>
      <w:r>
        <w:rPr>
          <w:rFonts w:hint="eastAsia" w:ascii="仿宋_GB2312" w:eastAsia="仿宋_GB2312"/>
          <w:sz w:val="32"/>
          <w:szCs w:val="32"/>
        </w:rPr>
        <w:t>（4）文化遗产保护方面。</w:t>
      </w:r>
      <w:r>
        <w:rPr>
          <w:rFonts w:hint="eastAsia" w:ascii="仿宋" w:hAnsi="仿宋" w:eastAsia="仿宋"/>
          <w:sz w:val="32"/>
          <w:szCs w:val="32"/>
        </w:rPr>
        <w:t>目前已列入省、市、区级非物质文化遗产保护名录的共有23项。其中列入列入国家级名录1项（夏布绣）、省级名录4项(《凤凰戏母》《新余花鼓戏》《新余民间谚语》《观巢推车灯》）、列入市级名录的1</w:t>
      </w:r>
      <w:r>
        <w:rPr>
          <w:rFonts w:hint="eastAsia" w:ascii="仿宋" w:hAnsi="仿宋" w:eastAsia="仿宋" w:cs="Times New Roman"/>
          <w:sz w:val="32"/>
          <w:szCs w:val="32"/>
        </w:rPr>
        <w:t>1项、列入区级名录7项。</w:t>
      </w:r>
      <w:r>
        <w:rPr>
          <w:rFonts w:hint="eastAsia" w:ascii="仿宋" w:hAnsi="仿宋" w:eastAsia="仿宋" w:cs="宋体"/>
          <w:sz w:val="32"/>
          <w:szCs w:val="32"/>
        </w:rPr>
        <w:t>经过三次历史文化遗产普查，我区现有不可移动文物450余处，其中全国重点文物保护单位</w:t>
      </w:r>
      <w:r>
        <w:rPr>
          <w:rFonts w:ascii="仿宋" w:hAnsi="仿宋" w:eastAsia="仿宋" w:cs="Times New Roman"/>
          <w:sz w:val="32"/>
          <w:szCs w:val="32"/>
        </w:rPr>
        <w:t>4</w:t>
      </w:r>
      <w:r>
        <w:rPr>
          <w:rFonts w:hint="eastAsia" w:ascii="仿宋" w:hAnsi="仿宋" w:eastAsia="仿宋" w:cs="宋体"/>
          <w:sz w:val="32"/>
          <w:szCs w:val="32"/>
        </w:rPr>
        <w:t>处（水北拾年山遗址、罗坊兴国调查会旧址、陈家闹罗坊会议旧址、下村上高会战遗址）、省级文物保护单位</w:t>
      </w:r>
      <w:r>
        <w:rPr>
          <w:rFonts w:ascii="仿宋" w:hAnsi="仿宋" w:eastAsia="仿宋" w:cs="Times New Roman"/>
          <w:sz w:val="32"/>
          <w:szCs w:val="32"/>
        </w:rPr>
        <w:t>9</w:t>
      </w:r>
      <w:r>
        <w:rPr>
          <w:rFonts w:hint="eastAsia" w:ascii="仿宋" w:hAnsi="仿宋" w:eastAsia="仿宋" w:cs="宋体"/>
          <w:sz w:val="32"/>
          <w:szCs w:val="32"/>
        </w:rPr>
        <w:t>处、市级文物保护单位</w:t>
      </w:r>
      <w:r>
        <w:rPr>
          <w:rFonts w:hint="eastAsia" w:ascii="仿宋" w:hAnsi="仿宋" w:eastAsia="仿宋" w:cs="Times New Roman"/>
          <w:sz w:val="32"/>
          <w:szCs w:val="32"/>
        </w:rPr>
        <w:t>33</w:t>
      </w:r>
      <w:r>
        <w:rPr>
          <w:rFonts w:hint="eastAsia" w:ascii="仿宋" w:hAnsi="仿宋" w:eastAsia="仿宋" w:cs="宋体"/>
          <w:sz w:val="32"/>
          <w:szCs w:val="32"/>
        </w:rPr>
        <w:t>处；国家级传统古村落3处（水北黄坑古村、新溪西江古村、南安哲山古村）、省级传统古村落4处、市级传统古村落1处。</w:t>
      </w:r>
    </w:p>
    <w:p>
      <w:pPr>
        <w:spacing w:after="0" w:line="600" w:lineRule="exact"/>
        <w:ind w:firstLine="643" w:firstLineChars="200"/>
        <w:jc w:val="both"/>
        <w:rPr>
          <w:rFonts w:hint="eastAsia" w:ascii="仿宋" w:hAnsi="仿宋" w:eastAsia="仿宋"/>
          <w:b/>
          <w:bCs/>
          <w:sz w:val="32"/>
          <w:szCs w:val="32"/>
        </w:rPr>
      </w:pPr>
      <w:r>
        <w:rPr>
          <w:rFonts w:hint="eastAsia" w:ascii="仿宋" w:hAnsi="仿宋" w:eastAsia="仿宋"/>
          <w:b/>
          <w:bCs/>
          <w:sz w:val="32"/>
          <w:szCs w:val="32"/>
        </w:rPr>
        <w:t>3.资金投入及使用情况</w:t>
      </w:r>
    </w:p>
    <w:p>
      <w:pPr>
        <w:pStyle w:val="2"/>
        <w:shd w:val="clear" w:color="auto" w:fill="FFFFFF"/>
        <w:spacing w:before="0" w:beforeAutospacing="0" w:after="0" w:afterAutospacing="0" w:line="600" w:lineRule="exact"/>
        <w:ind w:firstLine="640" w:firstLineChars="200"/>
        <w:jc w:val="both"/>
        <w:rPr>
          <w:rFonts w:hint="eastAsia" w:ascii="仿宋" w:hAnsi="仿宋" w:eastAsia="仿宋"/>
          <w:sz w:val="32"/>
          <w:szCs w:val="32"/>
        </w:rPr>
      </w:pPr>
      <w:r>
        <w:rPr>
          <w:rFonts w:hint="eastAsia" w:ascii="仿宋" w:hAnsi="仿宋" w:eastAsia="仿宋"/>
          <w:sz w:val="32"/>
          <w:szCs w:val="32"/>
        </w:rPr>
        <w:t>（1）项目资金到位情况</w:t>
      </w:r>
    </w:p>
    <w:p>
      <w:pPr>
        <w:pStyle w:val="2"/>
        <w:shd w:val="clear" w:color="auto" w:fill="FFFFFF"/>
        <w:spacing w:before="0" w:beforeAutospacing="0" w:after="0" w:afterAutospacing="0" w:line="600" w:lineRule="exact"/>
        <w:ind w:firstLine="640" w:firstLineChars="200"/>
        <w:jc w:val="both"/>
        <w:rPr>
          <w:rFonts w:ascii="仿宋" w:hAnsi="仿宋" w:eastAsia="仿宋"/>
          <w:sz w:val="32"/>
          <w:szCs w:val="32"/>
        </w:rPr>
      </w:pPr>
      <w:r>
        <w:rPr>
          <w:rFonts w:hint="eastAsia" w:ascii="仿宋" w:hAnsi="仿宋" w:eastAsia="仿宋"/>
          <w:sz w:val="32"/>
          <w:szCs w:val="32"/>
        </w:rPr>
        <w:t>202</w:t>
      </w:r>
      <w:r>
        <w:rPr>
          <w:rFonts w:hint="eastAsia" w:ascii="仿宋" w:hAnsi="仿宋" w:eastAsia="仿宋"/>
          <w:sz w:val="32"/>
          <w:szCs w:val="32"/>
          <w:lang w:val="en-US" w:eastAsia="zh-CN"/>
        </w:rPr>
        <w:t>3</w:t>
      </w:r>
      <w:r>
        <w:rPr>
          <w:rFonts w:hint="eastAsia" w:ascii="仿宋" w:hAnsi="仿宋" w:eastAsia="仿宋"/>
          <w:sz w:val="32"/>
          <w:szCs w:val="32"/>
        </w:rPr>
        <w:t>年度项目资金预算</w:t>
      </w:r>
      <w:r>
        <w:rPr>
          <w:rFonts w:hint="eastAsia" w:ascii="仿宋" w:hAnsi="仿宋" w:eastAsia="仿宋"/>
          <w:sz w:val="32"/>
          <w:szCs w:val="32"/>
          <w:lang w:val="en-US" w:eastAsia="zh-CN"/>
        </w:rPr>
        <w:t>391.77</w:t>
      </w:r>
      <w:r>
        <w:rPr>
          <w:rFonts w:hint="eastAsia" w:ascii="仿宋" w:hAnsi="仿宋" w:eastAsia="仿宋"/>
          <w:sz w:val="32"/>
          <w:szCs w:val="32"/>
        </w:rPr>
        <w:t>万元，其中省级及以上财政资金</w:t>
      </w:r>
      <w:r>
        <w:rPr>
          <w:rFonts w:hint="eastAsia" w:ascii="仿宋" w:hAnsi="仿宋" w:eastAsia="仿宋"/>
          <w:sz w:val="32"/>
          <w:szCs w:val="32"/>
          <w:lang w:val="en-US" w:eastAsia="zh-CN"/>
        </w:rPr>
        <w:t>391.77</w:t>
      </w:r>
      <w:r>
        <w:rPr>
          <w:rFonts w:hint="eastAsia" w:ascii="仿宋" w:hAnsi="仿宋" w:eastAsia="仿宋"/>
          <w:sz w:val="32"/>
          <w:szCs w:val="32"/>
        </w:rPr>
        <w:t>万元，资金到位率为100.00%，资金到位及时。</w:t>
      </w:r>
    </w:p>
    <w:p>
      <w:pPr>
        <w:spacing w:after="0" w:line="600" w:lineRule="exact"/>
        <w:ind w:firstLine="640" w:firstLineChars="200"/>
        <w:jc w:val="both"/>
        <w:rPr>
          <w:rFonts w:ascii="仿宋" w:hAnsi="仿宋" w:eastAsia="仿宋" w:cs="宋体"/>
          <w:sz w:val="32"/>
          <w:szCs w:val="32"/>
        </w:rPr>
      </w:pPr>
      <w:r>
        <w:rPr>
          <w:rFonts w:hint="eastAsia" w:ascii="仿宋" w:hAnsi="仿宋" w:eastAsia="仿宋" w:cs="宋体"/>
          <w:sz w:val="32"/>
          <w:szCs w:val="32"/>
        </w:rPr>
        <w:t>（2）项目资金使用情况</w:t>
      </w:r>
    </w:p>
    <w:p>
      <w:pPr>
        <w:spacing w:after="0" w:line="600" w:lineRule="exact"/>
        <w:ind w:firstLine="640" w:firstLineChars="200"/>
        <w:jc w:val="both"/>
        <w:rPr>
          <w:rFonts w:ascii="仿宋" w:hAnsi="仿宋" w:eastAsia="仿宋" w:cs="宋体"/>
          <w:sz w:val="32"/>
          <w:szCs w:val="32"/>
        </w:rPr>
      </w:pPr>
      <w:r>
        <w:rPr>
          <w:rFonts w:hint="eastAsia" w:ascii="仿宋" w:hAnsi="仿宋" w:eastAsia="仿宋" w:cs="宋体"/>
          <w:sz w:val="32"/>
          <w:szCs w:val="32"/>
        </w:rPr>
        <w:t>项目资金实际支出</w:t>
      </w:r>
      <w:r>
        <w:rPr>
          <w:rFonts w:hint="eastAsia" w:ascii="仿宋" w:hAnsi="仿宋" w:eastAsia="仿宋" w:cs="宋体"/>
          <w:sz w:val="32"/>
          <w:szCs w:val="32"/>
          <w:lang w:val="en-US" w:eastAsia="zh-CN"/>
        </w:rPr>
        <w:t>391.77</w:t>
      </w:r>
      <w:r>
        <w:rPr>
          <w:rFonts w:hint="eastAsia" w:ascii="仿宋" w:hAnsi="仿宋" w:eastAsia="仿宋" w:cs="宋体"/>
          <w:sz w:val="32"/>
          <w:szCs w:val="32"/>
        </w:rPr>
        <w:t>万元，其中：农家书屋补助36万元，</w:t>
      </w:r>
      <w:r>
        <w:rPr>
          <w:rFonts w:hint="eastAsia" w:ascii="仿宋" w:hAnsi="仿宋" w:eastAsia="仿宋" w:cs="宋体"/>
          <w:sz w:val="32"/>
          <w:szCs w:val="32"/>
          <w:lang w:eastAsia="zh-CN"/>
        </w:rPr>
        <w:t>农村、学校</w:t>
      </w:r>
      <w:r>
        <w:rPr>
          <w:rFonts w:hint="eastAsia" w:ascii="仿宋" w:hAnsi="仿宋" w:eastAsia="仿宋" w:cs="宋体"/>
          <w:sz w:val="32"/>
          <w:szCs w:val="32"/>
        </w:rPr>
        <w:t>电影</w:t>
      </w:r>
      <w:r>
        <w:rPr>
          <w:rFonts w:hint="eastAsia" w:ascii="仿宋" w:hAnsi="仿宋" w:eastAsia="仿宋" w:cs="宋体"/>
          <w:sz w:val="32"/>
          <w:szCs w:val="32"/>
          <w:lang w:eastAsia="zh-CN"/>
        </w:rPr>
        <w:t>放映</w:t>
      </w:r>
      <w:r>
        <w:rPr>
          <w:rFonts w:hint="eastAsia" w:ascii="仿宋" w:hAnsi="仿宋" w:eastAsia="仿宋" w:cs="宋体"/>
          <w:sz w:val="32"/>
          <w:szCs w:val="32"/>
        </w:rPr>
        <w:t>补助52.72万元，农村基层文化建设奖补费用110.65万元，</w:t>
      </w:r>
      <w:r>
        <w:rPr>
          <w:rFonts w:hint="eastAsia" w:ascii="仿宋" w:hAnsi="仿宋" w:eastAsia="仿宋" w:cs="宋体"/>
          <w:sz w:val="32"/>
          <w:szCs w:val="32"/>
          <w:lang w:val="en-US" w:eastAsia="zh-CN"/>
        </w:rPr>
        <w:t>户户通及应急广播建设维护费用22.753万元，非遗展演、广场舞大赛等大型活动67万元，</w:t>
      </w:r>
      <w:r>
        <w:rPr>
          <w:rFonts w:hint="eastAsia" w:ascii="仿宋" w:hAnsi="仿宋" w:eastAsia="仿宋" w:cs="宋体"/>
          <w:sz w:val="32"/>
          <w:szCs w:val="32"/>
        </w:rPr>
        <w:t>和之韵唐诗合唱团演出费用10万元，</w:t>
      </w:r>
      <w:r>
        <w:rPr>
          <w:rFonts w:hint="eastAsia" w:ascii="仿宋" w:hAnsi="仿宋" w:eastAsia="仿宋" w:cs="宋体"/>
          <w:sz w:val="32"/>
          <w:szCs w:val="32"/>
          <w:lang w:eastAsia="zh-CN"/>
        </w:rPr>
        <w:t>其余用于</w:t>
      </w:r>
      <w:r>
        <w:rPr>
          <w:rFonts w:hint="eastAsia" w:ascii="仿宋" w:hAnsi="仿宋" w:eastAsia="仿宋" w:cs="宋体"/>
          <w:sz w:val="32"/>
          <w:szCs w:val="32"/>
        </w:rPr>
        <w:t>傅抱石艺术馆展厅改造、各乡镇办文化场馆改造</w:t>
      </w:r>
      <w:r>
        <w:rPr>
          <w:rFonts w:hint="eastAsia" w:ascii="仿宋" w:hAnsi="仿宋" w:eastAsia="仿宋" w:cs="宋体"/>
          <w:sz w:val="32"/>
          <w:szCs w:val="32"/>
          <w:lang w:eastAsia="zh-CN"/>
        </w:rPr>
        <w:t>、文化信息资源共享、文艺演出</w:t>
      </w:r>
      <w:r>
        <w:rPr>
          <w:rFonts w:hint="eastAsia" w:ascii="仿宋" w:hAnsi="仿宋" w:eastAsia="仿宋" w:cs="宋体"/>
          <w:sz w:val="32"/>
          <w:szCs w:val="32"/>
        </w:rPr>
        <w:t>等。列入“行政支出/财政拨款支出-其他文化体育与传媒支出-公共文化服务体系建设”等科目，项目资金来源为零余额账户用款额度。</w:t>
      </w:r>
    </w:p>
    <w:p>
      <w:pPr>
        <w:spacing w:after="0" w:line="600" w:lineRule="exact"/>
        <w:ind w:firstLine="643" w:firstLineChars="200"/>
        <w:jc w:val="both"/>
        <w:rPr>
          <w:rFonts w:ascii="楷体" w:hAnsi="楷体" w:eastAsia="楷体"/>
          <w:b/>
          <w:sz w:val="32"/>
          <w:szCs w:val="32"/>
        </w:rPr>
      </w:pPr>
      <w:r>
        <w:rPr>
          <w:rFonts w:hint="eastAsia" w:ascii="楷体" w:hAnsi="楷体" w:eastAsia="楷体"/>
          <w:b/>
          <w:sz w:val="32"/>
          <w:szCs w:val="32"/>
        </w:rPr>
        <w:t>（二）项目绩效目标。包括总体目标和阶段性目标。</w:t>
      </w:r>
    </w:p>
    <w:p>
      <w:pPr>
        <w:spacing w:after="0" w:line="600" w:lineRule="exact"/>
        <w:ind w:firstLine="640" w:firstLineChars="200"/>
        <w:jc w:val="both"/>
        <w:rPr>
          <w:rFonts w:ascii="仿宋" w:hAnsi="仿宋" w:eastAsia="仿宋"/>
          <w:sz w:val="32"/>
          <w:szCs w:val="32"/>
        </w:rPr>
      </w:pPr>
      <w:r>
        <w:rPr>
          <w:rFonts w:hint="eastAsia" w:ascii="仿宋" w:hAnsi="仿宋" w:eastAsia="仿宋"/>
          <w:sz w:val="32"/>
          <w:szCs w:val="32"/>
        </w:rPr>
        <w:t>总体目标：建设文化强区、实践文化惠民、充分保障人民群众的文化权益，更好满足群众的文化需求，建立以政府为主导，以公共财政为支撑，以全民为服务对象，网络健全、结构合理、发展均衡、运行有效、惠及全民的公共文化服务体系。</w:t>
      </w:r>
    </w:p>
    <w:p>
      <w:pPr>
        <w:spacing w:after="0" w:line="600" w:lineRule="exact"/>
        <w:ind w:firstLine="640" w:firstLineChars="200"/>
        <w:jc w:val="both"/>
        <w:rPr>
          <w:rFonts w:ascii="仿宋" w:hAnsi="仿宋" w:eastAsia="仿宋"/>
          <w:sz w:val="32"/>
          <w:szCs w:val="32"/>
        </w:rPr>
      </w:pPr>
      <w:r>
        <w:rPr>
          <w:rFonts w:hint="eastAsia" w:ascii="仿宋" w:hAnsi="仿宋" w:eastAsia="仿宋"/>
          <w:sz w:val="32"/>
          <w:szCs w:val="32"/>
        </w:rPr>
        <w:t>具体目标：（1）开展文化惠民活动（2）持续推进全民读书活动（3）加强队伍建设（4）加快渝水区图书馆、文化馆总分馆建设。</w:t>
      </w:r>
    </w:p>
    <w:p>
      <w:pPr>
        <w:spacing w:after="0" w:line="600" w:lineRule="exact"/>
        <w:ind w:firstLine="640" w:firstLineChars="200"/>
        <w:jc w:val="both"/>
        <w:rPr>
          <w:rFonts w:ascii="黑体" w:hAnsi="黑体" w:eastAsia="黑体"/>
          <w:sz w:val="32"/>
          <w:szCs w:val="32"/>
        </w:rPr>
      </w:pPr>
      <w:r>
        <w:rPr>
          <w:rFonts w:hint="eastAsia" w:ascii="黑体" w:hAnsi="黑体" w:eastAsia="黑体"/>
          <w:sz w:val="32"/>
          <w:szCs w:val="32"/>
        </w:rPr>
        <w:t>二、绩效评价工作开展情况</w:t>
      </w:r>
    </w:p>
    <w:p>
      <w:pPr>
        <w:spacing w:after="0" w:line="600" w:lineRule="exact"/>
        <w:ind w:firstLine="643" w:firstLineChars="200"/>
        <w:jc w:val="both"/>
        <w:rPr>
          <w:rFonts w:ascii="楷体" w:hAnsi="楷体" w:eastAsia="楷体"/>
          <w:b/>
          <w:sz w:val="32"/>
          <w:szCs w:val="32"/>
        </w:rPr>
      </w:pPr>
      <w:r>
        <w:rPr>
          <w:rFonts w:hint="eastAsia" w:ascii="楷体" w:hAnsi="楷体" w:eastAsia="楷体"/>
          <w:b/>
          <w:sz w:val="32"/>
          <w:szCs w:val="32"/>
        </w:rPr>
        <w:t>（一）绩效评价目的、对象和范围。</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600" w:lineRule="exact"/>
        <w:ind w:firstLine="640" w:firstLineChars="200"/>
        <w:jc w:val="both"/>
        <w:rPr>
          <w:rFonts w:ascii="仿宋" w:hAnsi="仿宋" w:eastAsia="仿宋" w:cs="仿宋"/>
          <w:color w:val="000000"/>
          <w:sz w:val="32"/>
          <w:szCs w:val="32"/>
        </w:rPr>
      </w:pPr>
      <w:r>
        <w:rPr>
          <w:rFonts w:hint="eastAsia" w:ascii="仿宋" w:hAnsi="仿宋" w:eastAsia="仿宋"/>
          <w:sz w:val="32"/>
          <w:szCs w:val="32"/>
        </w:rPr>
        <w:t>为进一步强化预算单位财政支出项目的管理，加强预算单位项目支出责任，保障预算单位更好地履行职责、发挥职能，促进渝水区文广新旅局从整体上提升预算绩效管理工作水平，规范公共文化服务体系建设经费资金管理行为，提高财政资金的使用效益和效率。根据财政部关于印发《项目支出绩效评价管理办法》的通知（财预〔2020〕10 号）、财政部关于印发《财政支出绩效评价管理暂行办法》的通知（财预〔2011〕285号）、《中共渝水区委办公室 渝水区人民政府办公室关于印发渝水区全面实施预算绩效管理的实施意见的通知》（渝党办字[2020]5号）、《推进全区预算绩效管理提质增效工作方案》（渝财〔2022〕132号）以及《渝水区财政局关于开展202</w:t>
      </w:r>
      <w:r>
        <w:rPr>
          <w:rFonts w:hint="eastAsia" w:ascii="仿宋" w:hAnsi="仿宋" w:eastAsia="仿宋"/>
          <w:sz w:val="32"/>
          <w:szCs w:val="32"/>
          <w:lang w:val="en-US" w:eastAsia="zh-CN"/>
        </w:rPr>
        <w:t>3</w:t>
      </w:r>
      <w:r>
        <w:rPr>
          <w:rFonts w:hint="eastAsia" w:ascii="仿宋" w:hAnsi="仿宋" w:eastAsia="仿宋"/>
          <w:sz w:val="32"/>
          <w:szCs w:val="32"/>
        </w:rPr>
        <w:t>年</w:t>
      </w:r>
      <w:r>
        <w:rPr>
          <w:rFonts w:hint="eastAsia" w:ascii="仿宋" w:hAnsi="仿宋" w:eastAsia="仿宋"/>
          <w:sz w:val="32"/>
          <w:szCs w:val="32"/>
          <w:lang w:eastAsia="zh-CN"/>
        </w:rPr>
        <w:t>单位自评及</w:t>
      </w:r>
      <w:r>
        <w:rPr>
          <w:rFonts w:hint="eastAsia" w:ascii="仿宋" w:hAnsi="仿宋" w:eastAsia="仿宋"/>
          <w:sz w:val="32"/>
          <w:szCs w:val="32"/>
        </w:rPr>
        <w:t>部门评价工作的通知》等文件规定，我单位作为主管部门对“公共文化服务体系建设经费”财政支出项目进行绩效评价。</w:t>
      </w:r>
    </w:p>
    <w:p>
      <w:pPr>
        <w:spacing w:after="0" w:line="600" w:lineRule="exact"/>
        <w:ind w:firstLine="643" w:firstLineChars="200"/>
        <w:jc w:val="both"/>
        <w:rPr>
          <w:rFonts w:hint="eastAsia" w:ascii="楷体" w:hAnsi="楷体" w:eastAsia="楷体"/>
          <w:b/>
          <w:sz w:val="32"/>
          <w:szCs w:val="32"/>
        </w:rPr>
      </w:pPr>
      <w:r>
        <w:rPr>
          <w:rFonts w:hint="eastAsia" w:ascii="楷体" w:hAnsi="楷体" w:eastAsia="楷体"/>
          <w:b/>
          <w:sz w:val="32"/>
          <w:szCs w:val="32"/>
        </w:rPr>
        <w:t>（二）绩效评价原则、评价指标体系（附表说明）、评价方法、评价标准等。</w:t>
      </w:r>
    </w:p>
    <w:p>
      <w:pPr>
        <w:spacing w:after="0" w:line="600" w:lineRule="exact"/>
        <w:ind w:firstLine="640" w:firstLineChars="200"/>
        <w:jc w:val="both"/>
        <w:rPr>
          <w:rFonts w:hint="eastAsia" w:ascii="仿宋" w:hAnsi="仿宋" w:eastAsia="仿宋"/>
          <w:color w:val="FF0000"/>
          <w:sz w:val="32"/>
          <w:szCs w:val="32"/>
        </w:rPr>
      </w:pPr>
      <w:r>
        <w:rPr>
          <w:rFonts w:hint="eastAsia" w:ascii="仿宋" w:hAnsi="仿宋" w:eastAsia="仿宋"/>
          <w:sz w:val="32"/>
          <w:szCs w:val="32"/>
        </w:rPr>
        <w:t>项目绩效评价工作依据财政部关于印发《项目支出绩效评价管理办法》的通知（财预〔2020〕10号）、《中央补助地方公共文化服务体系建设专项资金管理暂行办法》（财教〔2015〕527号）、《江西省委办公厅江西省政府办公厅印发《关于加快构建现代公共文化服务体系的实施意见》的通知》（赣办发【2015】32号）等文件规定</w:t>
      </w:r>
      <w:r>
        <w:rPr>
          <w:rFonts w:hint="eastAsia"/>
          <w:color w:val="333333"/>
        </w:rPr>
        <w:t>，</w:t>
      </w:r>
      <w:r>
        <w:rPr>
          <w:rFonts w:hint="eastAsia" w:ascii="仿宋" w:hAnsi="仿宋" w:eastAsia="仿宋"/>
          <w:sz w:val="32"/>
          <w:szCs w:val="32"/>
        </w:rPr>
        <w:t>以科学公正、统筹兼顾、激励约束、公开透明为基本原则；并根据财政部门和主管部门相关文件的规定，结合项目性质和项目预算批复时确定的绩效指标，设计定量和定性相结合的绩效评价指标及评分标准，确定绩效评价指标体系。（详见附件《渝水区文广新旅局旅游局部门评价报告表——公共文化服务体系建设经费》）</w:t>
      </w:r>
    </w:p>
    <w:p>
      <w:pPr>
        <w:spacing w:after="0" w:line="600" w:lineRule="exact"/>
        <w:ind w:firstLine="640" w:firstLineChars="200"/>
        <w:jc w:val="both"/>
        <w:rPr>
          <w:rFonts w:hint="eastAsia" w:ascii="仿宋" w:hAnsi="仿宋" w:eastAsia="仿宋"/>
          <w:sz w:val="32"/>
          <w:szCs w:val="32"/>
        </w:rPr>
      </w:pPr>
      <w:r>
        <w:rPr>
          <w:rFonts w:hint="eastAsia" w:ascii="仿宋" w:hAnsi="仿宋" w:eastAsia="仿宋"/>
          <w:sz w:val="32"/>
          <w:szCs w:val="32"/>
        </w:rPr>
        <w:t>项目绩效评价主要采用定量与定性评价相结合的比较法，以及成本效益分析等方法；定量指标得分主要与预算指标值相比评定，定性指标得分主要与预算指标完成情况及效果评判评定。</w:t>
      </w:r>
    </w:p>
    <w:p>
      <w:pPr>
        <w:spacing w:after="0" w:line="600" w:lineRule="exact"/>
        <w:ind w:firstLine="640" w:firstLineChars="200"/>
        <w:jc w:val="both"/>
        <w:rPr>
          <w:rFonts w:ascii="仿宋" w:hAnsi="仿宋" w:eastAsia="仿宋"/>
          <w:sz w:val="32"/>
          <w:szCs w:val="32"/>
        </w:rPr>
      </w:pPr>
      <w:r>
        <w:rPr>
          <w:rFonts w:hint="eastAsia" w:ascii="仿宋" w:hAnsi="仿宋" w:eastAsia="仿宋"/>
          <w:sz w:val="32"/>
          <w:szCs w:val="32"/>
        </w:rPr>
        <w:t>项目绩效评价结果采取评分和评级相结合的方式，总分设置为100分，等级划分为四档：90（含）-100分为优、80（含）-90分为良、60（含）-80分为中、60分以下为差。</w:t>
      </w:r>
    </w:p>
    <w:p>
      <w:pPr>
        <w:spacing w:after="0" w:line="600" w:lineRule="exact"/>
        <w:ind w:firstLine="643" w:firstLineChars="200"/>
        <w:jc w:val="both"/>
        <w:rPr>
          <w:rFonts w:ascii="楷体" w:hAnsi="楷体" w:eastAsia="楷体"/>
          <w:b/>
          <w:sz w:val="32"/>
          <w:szCs w:val="32"/>
        </w:rPr>
      </w:pPr>
      <w:r>
        <w:rPr>
          <w:rFonts w:hint="eastAsia" w:ascii="楷体" w:hAnsi="楷体" w:eastAsia="楷体"/>
          <w:b/>
          <w:sz w:val="32"/>
          <w:szCs w:val="32"/>
        </w:rPr>
        <w:t>（三）绩效评价工作过程。</w:t>
      </w:r>
    </w:p>
    <w:p>
      <w:pPr>
        <w:spacing w:after="0" w:line="600" w:lineRule="exact"/>
        <w:ind w:firstLine="640" w:firstLineChars="200"/>
        <w:jc w:val="both"/>
        <w:rPr>
          <w:rFonts w:hint="eastAsia" w:ascii="仿宋" w:hAnsi="仿宋" w:eastAsia="仿宋"/>
          <w:sz w:val="32"/>
          <w:szCs w:val="32"/>
        </w:rPr>
      </w:pPr>
      <w:r>
        <w:rPr>
          <w:rFonts w:hint="eastAsia" w:ascii="仿宋" w:hAnsi="仿宋" w:eastAsia="仿宋"/>
          <w:sz w:val="32"/>
          <w:szCs w:val="32"/>
        </w:rPr>
        <w:t>评价工作主要通过案卷查阅、询问查证、财务资料抽查、方式收集评价证据；评价小组以证据为基础，运用比较等方法，按照评分标准对每一项指标打分，形成评价等级；分析项目实施后的各项绩效，归纳实施过程中存在的问题，提出相应的意见与建议；并与项目实施单位交换意</w:t>
      </w:r>
      <w:bookmarkStart w:id="0" w:name="_GoBack"/>
      <w:bookmarkEnd w:id="0"/>
      <w:r>
        <w:rPr>
          <w:rFonts w:hint="eastAsia" w:ascii="仿宋" w:hAnsi="仿宋" w:eastAsia="仿宋"/>
          <w:sz w:val="32"/>
          <w:szCs w:val="32"/>
        </w:rPr>
        <w:t>见，核实有关情况，形成最终结论，提交绩效评价报告。</w:t>
      </w:r>
    </w:p>
    <w:p>
      <w:pPr>
        <w:spacing w:after="0" w:line="600" w:lineRule="exact"/>
        <w:ind w:firstLine="960" w:firstLineChars="300"/>
        <w:jc w:val="both"/>
        <w:rPr>
          <w:rFonts w:hint="eastAsia" w:ascii="黑体" w:hAnsi="黑体" w:eastAsia="黑体"/>
          <w:sz w:val="32"/>
          <w:szCs w:val="32"/>
        </w:rPr>
      </w:pPr>
      <w:r>
        <w:rPr>
          <w:rFonts w:hint="eastAsia" w:ascii="黑体" w:hAnsi="黑体" w:eastAsia="黑体"/>
          <w:sz w:val="32"/>
          <w:szCs w:val="32"/>
        </w:rPr>
        <w:t>三、综合评价情况及评价结论（附相关评分表）</w:t>
      </w:r>
    </w:p>
    <w:p>
      <w:pPr>
        <w:spacing w:after="0" w:line="600" w:lineRule="exact"/>
        <w:ind w:firstLine="960" w:firstLineChars="300"/>
        <w:jc w:val="both"/>
        <w:rPr>
          <w:rFonts w:ascii="仿宋" w:hAnsi="仿宋" w:eastAsia="仿宋"/>
          <w:sz w:val="32"/>
          <w:szCs w:val="32"/>
        </w:rPr>
      </w:pPr>
      <w:r>
        <w:rPr>
          <w:rFonts w:hint="eastAsia" w:ascii="仿宋" w:hAnsi="仿宋" w:eastAsia="仿宋"/>
          <w:sz w:val="32"/>
          <w:szCs w:val="32"/>
        </w:rPr>
        <w:t>评价小组认为，渝水区文广新旅局“公共文化服务体系建设经费”财政支出项目，在项目决策、目标设定、资金投入、资金管理、组织实施等方面符合有关法律法规和文件制度规定，项目产出和实施效益达到设定的预算绩效目标，项目支出的效益符合财政支出经济性、效率性和有效性原则，取得了较好的社会效益，基本实现了项目绩效的总体目标。该项目绩效评价综合得分9</w:t>
      </w:r>
      <w:r>
        <w:rPr>
          <w:rFonts w:hint="eastAsia" w:ascii="仿宋" w:hAnsi="仿宋" w:eastAsia="仿宋"/>
          <w:sz w:val="32"/>
          <w:szCs w:val="32"/>
          <w:lang w:val="en-US" w:eastAsia="zh-CN"/>
        </w:rPr>
        <w:t>2</w:t>
      </w:r>
      <w:r>
        <w:rPr>
          <w:rFonts w:hint="eastAsia" w:ascii="仿宋" w:hAnsi="仿宋" w:eastAsia="仿宋"/>
          <w:sz w:val="32"/>
          <w:szCs w:val="32"/>
        </w:rPr>
        <w:t>分，绩效评价等级为优。综合评价详见附件《渝水区文广新旅局旅游局部门评价报告表——公共文化服务体系建设经费》。</w:t>
      </w:r>
    </w:p>
    <w:p>
      <w:pPr>
        <w:spacing w:after="0" w:line="600" w:lineRule="exact"/>
        <w:ind w:firstLine="640" w:firstLineChars="200"/>
        <w:jc w:val="both"/>
        <w:rPr>
          <w:rFonts w:ascii="黑体" w:hAnsi="黑体" w:eastAsia="黑体"/>
          <w:sz w:val="32"/>
          <w:szCs w:val="32"/>
        </w:rPr>
      </w:pPr>
      <w:r>
        <w:rPr>
          <w:rFonts w:hint="eastAsia" w:ascii="黑体" w:hAnsi="黑体" w:eastAsia="黑体"/>
          <w:sz w:val="32"/>
          <w:szCs w:val="32"/>
        </w:rPr>
        <w:t>四、绩效评价指标分析</w:t>
      </w:r>
    </w:p>
    <w:p>
      <w:pPr>
        <w:spacing w:after="0" w:line="600" w:lineRule="exact"/>
        <w:ind w:firstLine="643" w:firstLineChars="200"/>
        <w:jc w:val="both"/>
        <w:rPr>
          <w:rFonts w:hint="eastAsia" w:ascii="楷体" w:hAnsi="楷体" w:eastAsia="楷体"/>
          <w:b/>
          <w:sz w:val="32"/>
          <w:szCs w:val="32"/>
        </w:rPr>
      </w:pPr>
      <w:r>
        <w:rPr>
          <w:rFonts w:hint="eastAsia" w:ascii="楷体" w:hAnsi="楷体" w:eastAsia="楷体"/>
          <w:b/>
          <w:sz w:val="32"/>
          <w:szCs w:val="32"/>
        </w:rPr>
        <w:t>（一）项目决策情况</w:t>
      </w:r>
    </w:p>
    <w:p>
      <w:pPr>
        <w:spacing w:after="0" w:line="600" w:lineRule="exact"/>
        <w:ind w:firstLine="643" w:firstLineChars="200"/>
        <w:jc w:val="both"/>
        <w:rPr>
          <w:rFonts w:hint="eastAsia" w:ascii="仿宋" w:hAnsi="仿宋" w:eastAsia="仿宋"/>
          <w:b/>
          <w:bCs/>
          <w:sz w:val="32"/>
          <w:szCs w:val="32"/>
        </w:rPr>
      </w:pPr>
      <w:r>
        <w:rPr>
          <w:rFonts w:hint="eastAsia" w:ascii="仿宋" w:hAnsi="仿宋" w:eastAsia="仿宋"/>
          <w:b/>
          <w:bCs/>
          <w:sz w:val="32"/>
          <w:szCs w:val="32"/>
        </w:rPr>
        <w:t>1.项目立项</w:t>
      </w:r>
    </w:p>
    <w:p>
      <w:pPr>
        <w:spacing w:after="0" w:line="600" w:lineRule="exact"/>
        <w:ind w:firstLine="640" w:firstLineChars="200"/>
        <w:jc w:val="both"/>
        <w:rPr>
          <w:rFonts w:hint="eastAsia" w:ascii="微软雅黑" w:hAnsi="微软雅黑"/>
          <w:color w:val="333333"/>
          <w:sz w:val="23"/>
          <w:szCs w:val="23"/>
        </w:rPr>
      </w:pPr>
      <w:r>
        <w:rPr>
          <w:rFonts w:hint="eastAsia" w:ascii="仿宋" w:hAnsi="仿宋" w:eastAsia="仿宋"/>
          <w:sz w:val="32"/>
          <w:szCs w:val="32"/>
        </w:rPr>
        <w:t>（1）立项依据的充分性：为提高公共文化服务效能，加快构建现代公共文化服务体系，保障人民群众基本文化权益，根据《江西省财政厅关于提前下达202</w:t>
      </w:r>
      <w:r>
        <w:rPr>
          <w:rFonts w:hint="eastAsia" w:ascii="仿宋" w:hAnsi="仿宋" w:eastAsia="仿宋"/>
          <w:sz w:val="32"/>
          <w:szCs w:val="32"/>
          <w:lang w:val="en-US" w:eastAsia="zh-CN"/>
        </w:rPr>
        <w:t>3</w:t>
      </w:r>
      <w:r>
        <w:rPr>
          <w:rFonts w:hint="eastAsia" w:ascii="仿宋" w:hAnsi="仿宋" w:eastAsia="仿宋"/>
          <w:sz w:val="32"/>
          <w:szCs w:val="32"/>
        </w:rPr>
        <w:t>年中央和省级公共文化服务体系补助资金预算的通知》（赣财文指【202</w:t>
      </w:r>
      <w:r>
        <w:rPr>
          <w:rFonts w:hint="eastAsia" w:ascii="仿宋" w:hAnsi="仿宋" w:eastAsia="仿宋"/>
          <w:sz w:val="32"/>
          <w:szCs w:val="32"/>
          <w:lang w:val="en-US" w:eastAsia="zh-CN"/>
        </w:rPr>
        <w:t>2</w:t>
      </w:r>
      <w:r>
        <w:rPr>
          <w:rFonts w:hint="eastAsia" w:ascii="仿宋" w:hAnsi="仿宋" w:eastAsia="仿宋"/>
          <w:sz w:val="32"/>
          <w:szCs w:val="32"/>
        </w:rPr>
        <w:t>】</w:t>
      </w:r>
      <w:r>
        <w:rPr>
          <w:rFonts w:hint="eastAsia" w:ascii="仿宋" w:hAnsi="仿宋" w:eastAsia="仿宋"/>
          <w:sz w:val="32"/>
          <w:szCs w:val="32"/>
          <w:lang w:val="en-US" w:eastAsia="zh-CN"/>
        </w:rPr>
        <w:t>5</w:t>
      </w:r>
      <w:r>
        <w:rPr>
          <w:rFonts w:hint="eastAsia" w:ascii="仿宋" w:hAnsi="仿宋" w:eastAsia="仿宋"/>
          <w:sz w:val="32"/>
          <w:szCs w:val="32"/>
        </w:rPr>
        <w:t>6号）《江西省委办公厅江西省政府办公厅印发《关于加快构建现代公共文化服务体系的实施意见》的通知》（赣办发【2015】32号）等相关文件精神推进公共文化服务体系建设。该项指标标准分值</w:t>
      </w:r>
      <w:r>
        <w:rPr>
          <w:rFonts w:hint="eastAsia" w:ascii="仿宋" w:hAnsi="仿宋" w:eastAsia="仿宋"/>
          <w:sz w:val="32"/>
          <w:szCs w:val="32"/>
          <w:lang w:val="en-US" w:eastAsia="zh-CN"/>
        </w:rPr>
        <w:t>2</w:t>
      </w:r>
      <w:r>
        <w:rPr>
          <w:rFonts w:hint="eastAsia" w:ascii="仿宋" w:hAnsi="仿宋" w:eastAsia="仿宋"/>
          <w:sz w:val="32"/>
          <w:szCs w:val="32"/>
        </w:rPr>
        <w:t>分，评价得分</w:t>
      </w:r>
      <w:r>
        <w:rPr>
          <w:rFonts w:hint="eastAsia" w:ascii="仿宋" w:hAnsi="仿宋" w:eastAsia="仿宋"/>
          <w:sz w:val="32"/>
          <w:szCs w:val="32"/>
          <w:lang w:val="en-US" w:eastAsia="zh-CN"/>
        </w:rPr>
        <w:t>2</w:t>
      </w:r>
      <w:r>
        <w:rPr>
          <w:rFonts w:hint="eastAsia" w:ascii="仿宋" w:hAnsi="仿宋" w:eastAsia="仿宋"/>
          <w:sz w:val="32"/>
          <w:szCs w:val="32"/>
        </w:rPr>
        <w:t>分。</w:t>
      </w:r>
    </w:p>
    <w:p>
      <w:pPr>
        <w:spacing w:after="0" w:line="600" w:lineRule="exact"/>
        <w:ind w:firstLine="640" w:firstLineChars="200"/>
        <w:jc w:val="both"/>
        <w:rPr>
          <w:rFonts w:hint="eastAsia" w:ascii="仿宋" w:hAnsi="仿宋" w:eastAsia="仿宋"/>
          <w:sz w:val="32"/>
          <w:szCs w:val="32"/>
        </w:rPr>
      </w:pPr>
      <w:r>
        <w:rPr>
          <w:rFonts w:hint="eastAsia" w:ascii="仿宋" w:hAnsi="仿宋" w:eastAsia="仿宋"/>
          <w:sz w:val="32"/>
          <w:szCs w:val="32"/>
        </w:rPr>
        <w:t>（2）立项程序规范性：渝水区文广新旅局公共文化服务体系建设经费项目预算申报及绩效目标审批文件齐全，立项程序规范到位。该项指标标准分值</w:t>
      </w:r>
      <w:r>
        <w:rPr>
          <w:rFonts w:hint="eastAsia" w:ascii="仿宋" w:hAnsi="仿宋" w:eastAsia="仿宋"/>
          <w:sz w:val="32"/>
          <w:szCs w:val="32"/>
          <w:lang w:val="en-US" w:eastAsia="zh-CN"/>
        </w:rPr>
        <w:t>2</w:t>
      </w:r>
      <w:r>
        <w:rPr>
          <w:rFonts w:hint="eastAsia" w:ascii="仿宋" w:hAnsi="仿宋" w:eastAsia="仿宋"/>
          <w:sz w:val="32"/>
          <w:szCs w:val="32"/>
        </w:rPr>
        <w:t>分，评价得分</w:t>
      </w:r>
      <w:r>
        <w:rPr>
          <w:rFonts w:hint="eastAsia" w:ascii="仿宋" w:hAnsi="仿宋" w:eastAsia="仿宋"/>
          <w:sz w:val="32"/>
          <w:szCs w:val="32"/>
          <w:lang w:val="en-US" w:eastAsia="zh-CN"/>
        </w:rPr>
        <w:t>2</w:t>
      </w:r>
      <w:r>
        <w:rPr>
          <w:rFonts w:hint="eastAsia" w:ascii="仿宋" w:hAnsi="仿宋" w:eastAsia="仿宋"/>
          <w:sz w:val="32"/>
          <w:szCs w:val="32"/>
        </w:rPr>
        <w:t>分。</w:t>
      </w:r>
    </w:p>
    <w:p>
      <w:pPr>
        <w:spacing w:after="0" w:line="600" w:lineRule="exact"/>
        <w:ind w:firstLine="643" w:firstLineChars="200"/>
        <w:jc w:val="both"/>
        <w:rPr>
          <w:rFonts w:hint="eastAsia" w:ascii="仿宋" w:hAnsi="仿宋" w:eastAsia="仿宋"/>
          <w:b/>
          <w:sz w:val="32"/>
          <w:szCs w:val="32"/>
        </w:rPr>
      </w:pPr>
      <w:r>
        <w:rPr>
          <w:rFonts w:hint="eastAsia" w:ascii="仿宋" w:hAnsi="仿宋" w:eastAsia="仿宋"/>
          <w:b/>
          <w:sz w:val="32"/>
          <w:szCs w:val="32"/>
        </w:rPr>
        <w:t>2.绩效目标</w:t>
      </w:r>
    </w:p>
    <w:p>
      <w:pPr>
        <w:pStyle w:val="2"/>
        <w:spacing w:before="0" w:beforeAutospacing="0" w:after="0" w:afterAutospacing="0" w:line="600" w:lineRule="exact"/>
        <w:ind w:firstLine="800" w:firstLineChars="250"/>
        <w:jc w:val="both"/>
        <w:rPr>
          <w:rFonts w:hint="eastAsia" w:ascii="仿宋" w:hAnsi="仿宋" w:eastAsia="仿宋"/>
          <w:sz w:val="32"/>
          <w:szCs w:val="32"/>
        </w:rPr>
      </w:pPr>
      <w:r>
        <w:rPr>
          <w:rFonts w:hint="eastAsia" w:ascii="仿宋" w:hAnsi="仿宋" w:eastAsia="仿宋"/>
          <w:sz w:val="32"/>
          <w:szCs w:val="32"/>
        </w:rPr>
        <w:t>（1）绩效目标合理性：根据202</w:t>
      </w:r>
      <w:r>
        <w:rPr>
          <w:rFonts w:hint="eastAsia" w:ascii="仿宋" w:hAnsi="仿宋" w:eastAsia="仿宋"/>
          <w:sz w:val="32"/>
          <w:szCs w:val="32"/>
          <w:lang w:val="en-US" w:eastAsia="zh-CN"/>
        </w:rPr>
        <w:t>3</w:t>
      </w:r>
      <w:r>
        <w:rPr>
          <w:rFonts w:hint="eastAsia" w:ascii="仿宋" w:hAnsi="仿宋" w:eastAsia="仿宋"/>
          <w:sz w:val="32"/>
          <w:szCs w:val="32"/>
        </w:rPr>
        <w:t>年渝水区文广新旅局填报的项目绩效目标申报表，该项目绩效目标设定合理且与其实际工作相关，预算资金匹配度高。该项指标标准分值</w:t>
      </w:r>
      <w:r>
        <w:rPr>
          <w:rFonts w:hint="eastAsia" w:ascii="仿宋" w:hAnsi="仿宋" w:eastAsia="仿宋"/>
          <w:sz w:val="32"/>
          <w:szCs w:val="32"/>
          <w:lang w:val="en-US" w:eastAsia="zh-CN"/>
        </w:rPr>
        <w:t>2</w:t>
      </w:r>
      <w:r>
        <w:rPr>
          <w:rFonts w:hint="eastAsia" w:ascii="仿宋" w:hAnsi="仿宋" w:eastAsia="仿宋"/>
          <w:sz w:val="32"/>
          <w:szCs w:val="32"/>
        </w:rPr>
        <w:t>分，评价得分</w:t>
      </w:r>
      <w:r>
        <w:rPr>
          <w:rFonts w:hint="eastAsia" w:ascii="仿宋" w:hAnsi="仿宋" w:eastAsia="仿宋"/>
          <w:sz w:val="32"/>
          <w:szCs w:val="32"/>
          <w:lang w:val="en-US" w:eastAsia="zh-CN"/>
        </w:rPr>
        <w:t>2</w:t>
      </w:r>
      <w:r>
        <w:rPr>
          <w:rFonts w:hint="eastAsia" w:ascii="仿宋" w:hAnsi="仿宋" w:eastAsia="仿宋"/>
          <w:sz w:val="32"/>
          <w:szCs w:val="32"/>
        </w:rPr>
        <w:t>分。</w:t>
      </w:r>
    </w:p>
    <w:p>
      <w:pPr>
        <w:pStyle w:val="2"/>
        <w:spacing w:before="0" w:beforeAutospacing="0" w:after="0" w:afterAutospacing="0" w:line="600" w:lineRule="exact"/>
        <w:ind w:firstLine="640" w:firstLineChars="200"/>
        <w:jc w:val="both"/>
        <w:rPr>
          <w:rFonts w:ascii="仿宋" w:hAnsi="仿宋" w:eastAsia="仿宋"/>
          <w:sz w:val="32"/>
          <w:szCs w:val="32"/>
        </w:rPr>
      </w:pPr>
      <w:r>
        <w:rPr>
          <w:rFonts w:hint="eastAsia" w:ascii="仿宋" w:hAnsi="仿宋" w:eastAsia="仿宋"/>
          <w:sz w:val="32"/>
          <w:szCs w:val="32"/>
        </w:rPr>
        <w:t>（2）绩效指标明确性：根据202</w:t>
      </w:r>
      <w:r>
        <w:rPr>
          <w:rFonts w:hint="eastAsia" w:ascii="仿宋" w:hAnsi="仿宋" w:eastAsia="仿宋"/>
          <w:sz w:val="32"/>
          <w:szCs w:val="32"/>
          <w:lang w:val="en-US" w:eastAsia="zh-CN"/>
        </w:rPr>
        <w:t>3</w:t>
      </w:r>
      <w:r>
        <w:rPr>
          <w:rFonts w:hint="eastAsia" w:ascii="仿宋" w:hAnsi="仿宋" w:eastAsia="仿宋"/>
          <w:sz w:val="32"/>
          <w:szCs w:val="32"/>
        </w:rPr>
        <w:t>年渝水区文广新旅局填报的项目绩效目标申报表，该项目绩效指标清晰，细化明确可衡量，与计划数相对应。该项指标标准分值</w:t>
      </w:r>
      <w:r>
        <w:rPr>
          <w:rFonts w:hint="eastAsia" w:ascii="仿宋" w:hAnsi="仿宋" w:eastAsia="仿宋"/>
          <w:sz w:val="32"/>
          <w:szCs w:val="32"/>
          <w:lang w:val="en-US" w:eastAsia="zh-CN"/>
        </w:rPr>
        <w:t>2</w:t>
      </w:r>
      <w:r>
        <w:rPr>
          <w:rFonts w:hint="eastAsia" w:ascii="仿宋" w:hAnsi="仿宋" w:eastAsia="仿宋"/>
          <w:sz w:val="32"/>
          <w:szCs w:val="32"/>
        </w:rPr>
        <w:t>分，评价得分</w:t>
      </w:r>
      <w:r>
        <w:rPr>
          <w:rFonts w:hint="eastAsia" w:ascii="仿宋" w:hAnsi="仿宋" w:eastAsia="仿宋"/>
          <w:sz w:val="32"/>
          <w:szCs w:val="32"/>
          <w:lang w:val="en-US" w:eastAsia="zh-CN"/>
        </w:rPr>
        <w:t>2</w:t>
      </w:r>
      <w:r>
        <w:rPr>
          <w:rFonts w:hint="eastAsia" w:ascii="仿宋" w:hAnsi="仿宋" w:eastAsia="仿宋"/>
          <w:sz w:val="32"/>
          <w:szCs w:val="32"/>
        </w:rPr>
        <w:t>分。</w:t>
      </w:r>
    </w:p>
    <w:p>
      <w:pPr>
        <w:spacing w:after="0" w:line="600" w:lineRule="exact"/>
        <w:ind w:firstLine="643" w:firstLineChars="200"/>
        <w:jc w:val="both"/>
        <w:rPr>
          <w:rFonts w:hint="eastAsia" w:ascii="仿宋" w:hAnsi="仿宋" w:eastAsia="仿宋"/>
          <w:b/>
          <w:bCs/>
          <w:sz w:val="32"/>
          <w:szCs w:val="32"/>
        </w:rPr>
      </w:pPr>
      <w:r>
        <w:rPr>
          <w:rFonts w:hint="eastAsia" w:ascii="仿宋" w:hAnsi="仿宋" w:eastAsia="仿宋"/>
          <w:b/>
          <w:bCs/>
          <w:sz w:val="32"/>
          <w:szCs w:val="32"/>
        </w:rPr>
        <w:t>3、资金投入</w:t>
      </w:r>
    </w:p>
    <w:p>
      <w:pPr>
        <w:spacing w:after="0" w:line="600" w:lineRule="exact"/>
        <w:ind w:firstLine="640" w:firstLineChars="200"/>
        <w:jc w:val="both"/>
        <w:rPr>
          <w:rFonts w:hint="eastAsia" w:ascii="仿宋" w:hAnsi="仿宋" w:eastAsia="仿宋"/>
          <w:sz w:val="32"/>
          <w:szCs w:val="32"/>
        </w:rPr>
      </w:pPr>
      <w:r>
        <w:rPr>
          <w:rFonts w:hint="eastAsia" w:ascii="仿宋" w:hAnsi="仿宋" w:eastAsia="仿宋"/>
          <w:sz w:val="32"/>
          <w:szCs w:val="32"/>
        </w:rPr>
        <w:t>（1）预算编制科学性：该项目预算内容与项目内容相匹配；预算测算依据充分且符合标准；预算资金需求量与工作任务匹配。该项指标标准分值4分，评价得分4分。</w:t>
      </w:r>
    </w:p>
    <w:p>
      <w:pPr>
        <w:spacing w:after="0" w:line="600" w:lineRule="exact"/>
        <w:ind w:firstLine="640" w:firstLineChars="200"/>
        <w:jc w:val="both"/>
        <w:rPr>
          <w:rFonts w:ascii="仿宋" w:hAnsi="仿宋" w:eastAsia="仿宋"/>
          <w:sz w:val="32"/>
          <w:szCs w:val="32"/>
        </w:rPr>
      </w:pPr>
      <w:r>
        <w:rPr>
          <w:rFonts w:hint="eastAsia" w:ascii="仿宋" w:hAnsi="仿宋" w:eastAsia="仿宋"/>
          <w:sz w:val="32"/>
          <w:szCs w:val="32"/>
        </w:rPr>
        <w:t>（2）资金分配合理性：该项目资金分配根据下属单位开展相关公共文化服务体系建设活动分配，分配依据充分，额度合理，与其自身实际相适应。该项指标标准分值3分，评价得分3分。</w:t>
      </w:r>
    </w:p>
    <w:p>
      <w:pPr>
        <w:spacing w:after="0" w:line="600" w:lineRule="exact"/>
        <w:ind w:firstLine="643" w:firstLineChars="200"/>
        <w:jc w:val="both"/>
        <w:rPr>
          <w:rFonts w:hint="eastAsia" w:ascii="楷体" w:hAnsi="楷体" w:eastAsia="楷体"/>
          <w:b/>
          <w:sz w:val="32"/>
          <w:szCs w:val="32"/>
        </w:rPr>
      </w:pPr>
      <w:r>
        <w:rPr>
          <w:rFonts w:hint="eastAsia" w:ascii="楷体" w:hAnsi="楷体" w:eastAsia="楷体"/>
          <w:b/>
          <w:sz w:val="32"/>
          <w:szCs w:val="32"/>
        </w:rPr>
        <w:t>（二）项目过程情况。</w:t>
      </w:r>
    </w:p>
    <w:p>
      <w:pPr>
        <w:spacing w:after="0" w:line="600" w:lineRule="exact"/>
        <w:ind w:firstLine="643" w:firstLineChars="200"/>
        <w:jc w:val="both"/>
        <w:rPr>
          <w:rStyle w:val="5"/>
          <w:rFonts w:hint="eastAsia" w:ascii="仿宋_GB2312" w:eastAsia="仿宋_GB2312"/>
          <w:color w:val="333333"/>
          <w:sz w:val="32"/>
          <w:szCs w:val="32"/>
          <w:shd w:val="clear" w:color="auto" w:fill="FFFFFF"/>
        </w:rPr>
      </w:pPr>
      <w:r>
        <w:rPr>
          <w:rStyle w:val="5"/>
          <w:rFonts w:hint="eastAsia" w:ascii="仿宋_GB2312" w:eastAsia="仿宋_GB2312"/>
          <w:color w:val="333333"/>
          <w:sz w:val="32"/>
          <w:szCs w:val="32"/>
          <w:shd w:val="clear" w:color="auto" w:fill="FFFFFF"/>
        </w:rPr>
        <w:t>1.资金管理</w:t>
      </w:r>
    </w:p>
    <w:p>
      <w:pPr>
        <w:spacing w:after="0" w:line="600" w:lineRule="exact"/>
        <w:ind w:firstLine="640" w:firstLineChars="200"/>
        <w:jc w:val="both"/>
        <w:rPr>
          <w:rFonts w:ascii="微软雅黑" w:hAnsi="微软雅黑"/>
          <w:color w:val="333333"/>
          <w:sz w:val="23"/>
          <w:szCs w:val="23"/>
        </w:rPr>
      </w:pPr>
      <w:r>
        <w:rPr>
          <w:rFonts w:hint="eastAsia" w:ascii="仿宋" w:hAnsi="仿宋" w:eastAsia="仿宋"/>
          <w:sz w:val="32"/>
          <w:szCs w:val="32"/>
        </w:rPr>
        <w:t>（1）资金到位率：该项目预算资金</w:t>
      </w:r>
      <w:r>
        <w:rPr>
          <w:rFonts w:hint="eastAsia" w:ascii="仿宋" w:hAnsi="仿宋" w:eastAsia="仿宋"/>
          <w:sz w:val="32"/>
          <w:szCs w:val="32"/>
          <w:lang w:val="en-US" w:eastAsia="zh-CN"/>
        </w:rPr>
        <w:t>391.77</w:t>
      </w:r>
      <w:r>
        <w:rPr>
          <w:rFonts w:hint="eastAsia" w:ascii="仿宋" w:hAnsi="仿宋" w:eastAsia="仿宋"/>
          <w:sz w:val="32"/>
          <w:szCs w:val="32"/>
        </w:rPr>
        <w:t>万元，实际到位资金</w:t>
      </w:r>
      <w:r>
        <w:rPr>
          <w:rFonts w:hint="eastAsia" w:ascii="仿宋" w:hAnsi="仿宋" w:eastAsia="仿宋"/>
          <w:sz w:val="32"/>
          <w:szCs w:val="32"/>
          <w:lang w:val="en-US" w:eastAsia="zh-CN"/>
        </w:rPr>
        <w:t>391.77</w:t>
      </w:r>
      <w:r>
        <w:rPr>
          <w:rFonts w:hint="eastAsia" w:ascii="仿宋" w:hAnsi="仿宋" w:eastAsia="仿宋"/>
          <w:sz w:val="32"/>
          <w:szCs w:val="32"/>
        </w:rPr>
        <w:t>万元，资金到位率=实际到位资金/预算资金=</w:t>
      </w:r>
      <w:r>
        <w:rPr>
          <w:rFonts w:hint="eastAsia" w:ascii="仿宋" w:hAnsi="仿宋" w:eastAsia="仿宋"/>
          <w:sz w:val="32"/>
          <w:szCs w:val="32"/>
          <w:lang w:val="en-US" w:eastAsia="zh-CN"/>
        </w:rPr>
        <w:t>391.77</w:t>
      </w:r>
      <w:r>
        <w:rPr>
          <w:rFonts w:hint="eastAsia" w:ascii="仿宋" w:hAnsi="仿宋" w:eastAsia="仿宋"/>
          <w:sz w:val="32"/>
          <w:szCs w:val="32"/>
        </w:rPr>
        <w:t>/</w:t>
      </w:r>
      <w:r>
        <w:rPr>
          <w:rFonts w:hint="eastAsia" w:ascii="仿宋" w:hAnsi="仿宋" w:eastAsia="仿宋"/>
          <w:sz w:val="32"/>
          <w:szCs w:val="32"/>
          <w:lang w:val="en-US" w:eastAsia="zh-CN"/>
        </w:rPr>
        <w:t>391.77</w:t>
      </w:r>
      <w:r>
        <w:rPr>
          <w:rFonts w:hint="eastAsia" w:ascii="仿宋" w:hAnsi="仿宋" w:eastAsia="仿宋"/>
          <w:sz w:val="32"/>
          <w:szCs w:val="32"/>
        </w:rPr>
        <w:t>×100%=100%。该项指标标准分值5分，评价得分5分。</w:t>
      </w:r>
    </w:p>
    <w:p>
      <w:pPr>
        <w:pStyle w:val="2"/>
        <w:shd w:val="clear" w:color="auto" w:fill="FFFFFF"/>
        <w:spacing w:before="0" w:beforeAutospacing="0" w:after="0" w:afterAutospacing="0" w:line="600" w:lineRule="exact"/>
        <w:ind w:firstLine="640" w:firstLineChars="200"/>
        <w:jc w:val="both"/>
        <w:rPr>
          <w:rFonts w:hint="eastAsia" w:ascii="仿宋" w:hAnsi="仿宋" w:eastAsia="仿宋"/>
          <w:color w:val="auto"/>
          <w:sz w:val="32"/>
          <w:szCs w:val="32"/>
        </w:rPr>
      </w:pPr>
      <w:r>
        <w:rPr>
          <w:rFonts w:hint="eastAsia" w:ascii="仿宋" w:hAnsi="仿宋" w:eastAsia="仿宋"/>
          <w:color w:val="auto"/>
          <w:sz w:val="32"/>
          <w:szCs w:val="32"/>
        </w:rPr>
        <w:t>（2）预算执行率：该项目实际到位资金</w:t>
      </w:r>
      <w:r>
        <w:rPr>
          <w:rFonts w:hint="eastAsia" w:ascii="仿宋" w:hAnsi="仿宋" w:eastAsia="仿宋"/>
          <w:color w:val="auto"/>
          <w:sz w:val="32"/>
          <w:szCs w:val="32"/>
          <w:lang w:val="en-US" w:eastAsia="zh-CN"/>
        </w:rPr>
        <w:t>391.77</w:t>
      </w:r>
      <w:r>
        <w:rPr>
          <w:rFonts w:hint="eastAsia" w:ascii="仿宋" w:hAnsi="仿宋" w:eastAsia="仿宋"/>
          <w:color w:val="auto"/>
          <w:sz w:val="32"/>
          <w:szCs w:val="32"/>
        </w:rPr>
        <w:t>万元，截至202</w:t>
      </w:r>
      <w:r>
        <w:rPr>
          <w:rFonts w:hint="eastAsia" w:ascii="仿宋" w:hAnsi="仿宋" w:eastAsia="仿宋"/>
          <w:color w:val="auto"/>
          <w:sz w:val="32"/>
          <w:szCs w:val="32"/>
          <w:lang w:val="en-US" w:eastAsia="zh-CN"/>
        </w:rPr>
        <w:t>3</w:t>
      </w:r>
      <w:r>
        <w:rPr>
          <w:rFonts w:hint="eastAsia" w:ascii="仿宋" w:hAnsi="仿宋" w:eastAsia="仿宋"/>
          <w:color w:val="auto"/>
          <w:sz w:val="32"/>
          <w:szCs w:val="32"/>
        </w:rPr>
        <w:t>年12月31日实际支出资金</w:t>
      </w:r>
      <w:r>
        <w:rPr>
          <w:rFonts w:hint="eastAsia" w:ascii="仿宋" w:hAnsi="仿宋" w:eastAsia="仿宋"/>
          <w:color w:val="auto"/>
          <w:sz w:val="32"/>
          <w:szCs w:val="32"/>
          <w:lang w:val="en-US" w:eastAsia="zh-CN"/>
        </w:rPr>
        <w:t>277.12</w:t>
      </w:r>
      <w:r>
        <w:rPr>
          <w:rFonts w:hint="eastAsia" w:ascii="仿宋" w:hAnsi="仿宋" w:eastAsia="仿宋"/>
          <w:color w:val="auto"/>
          <w:sz w:val="32"/>
          <w:szCs w:val="32"/>
        </w:rPr>
        <w:t>万元</w:t>
      </w:r>
      <w:r>
        <w:rPr>
          <w:rFonts w:hint="eastAsia"/>
          <w:color w:val="auto"/>
          <w:shd w:val="clear" w:color="auto" w:fill="FFFFFF"/>
        </w:rPr>
        <w:t>，</w:t>
      </w:r>
      <w:r>
        <w:rPr>
          <w:rFonts w:hint="eastAsia" w:ascii="仿宋" w:hAnsi="仿宋" w:eastAsia="仿宋"/>
          <w:color w:val="auto"/>
          <w:sz w:val="32"/>
          <w:szCs w:val="32"/>
        </w:rPr>
        <w:t>预算执行率=实际支出资金/实际到位资金×100%=</w:t>
      </w:r>
      <w:r>
        <w:rPr>
          <w:rFonts w:hint="eastAsia" w:ascii="仿宋" w:hAnsi="仿宋" w:eastAsia="仿宋"/>
          <w:color w:val="auto"/>
          <w:sz w:val="32"/>
          <w:szCs w:val="32"/>
          <w:lang w:val="en-US" w:eastAsia="zh-CN"/>
        </w:rPr>
        <w:t>277.12</w:t>
      </w:r>
      <w:r>
        <w:rPr>
          <w:rFonts w:hint="eastAsia" w:ascii="仿宋" w:hAnsi="仿宋" w:eastAsia="仿宋"/>
          <w:color w:val="auto"/>
          <w:sz w:val="32"/>
          <w:szCs w:val="32"/>
        </w:rPr>
        <w:t>/</w:t>
      </w:r>
      <w:r>
        <w:rPr>
          <w:rFonts w:hint="eastAsia" w:ascii="仿宋" w:hAnsi="仿宋" w:eastAsia="仿宋"/>
          <w:color w:val="auto"/>
          <w:sz w:val="32"/>
          <w:szCs w:val="32"/>
          <w:lang w:val="en-US" w:eastAsia="zh-CN"/>
        </w:rPr>
        <w:t>391.77</w:t>
      </w:r>
      <w:r>
        <w:rPr>
          <w:rFonts w:hint="eastAsia" w:ascii="仿宋" w:hAnsi="仿宋" w:eastAsia="仿宋"/>
          <w:color w:val="auto"/>
          <w:sz w:val="32"/>
          <w:szCs w:val="32"/>
        </w:rPr>
        <w:t>×100%=</w:t>
      </w:r>
      <w:r>
        <w:rPr>
          <w:rFonts w:hint="eastAsia" w:ascii="仿宋" w:hAnsi="仿宋" w:eastAsia="仿宋"/>
          <w:color w:val="auto"/>
          <w:sz w:val="32"/>
          <w:szCs w:val="32"/>
          <w:lang w:val="en-US" w:eastAsia="zh-CN"/>
        </w:rPr>
        <w:t>70.74</w:t>
      </w:r>
      <w:r>
        <w:rPr>
          <w:rFonts w:hint="eastAsia" w:ascii="仿宋" w:hAnsi="仿宋" w:eastAsia="仿宋"/>
          <w:color w:val="auto"/>
          <w:sz w:val="32"/>
          <w:szCs w:val="32"/>
        </w:rPr>
        <w:t>%。该项指标标准分值5分，评价得分</w:t>
      </w:r>
      <w:r>
        <w:rPr>
          <w:rFonts w:hint="eastAsia" w:ascii="仿宋" w:hAnsi="仿宋" w:eastAsia="仿宋"/>
          <w:color w:val="auto"/>
          <w:sz w:val="32"/>
          <w:szCs w:val="32"/>
          <w:lang w:val="en-US" w:eastAsia="zh-CN"/>
        </w:rPr>
        <w:t>3</w:t>
      </w:r>
      <w:r>
        <w:rPr>
          <w:rFonts w:hint="eastAsia" w:ascii="仿宋" w:hAnsi="仿宋" w:eastAsia="仿宋"/>
          <w:color w:val="auto"/>
          <w:sz w:val="32"/>
          <w:szCs w:val="32"/>
        </w:rPr>
        <w:t>分。</w:t>
      </w:r>
    </w:p>
    <w:p>
      <w:pPr>
        <w:pStyle w:val="2"/>
        <w:shd w:val="clear" w:color="auto" w:fill="FFFFFF"/>
        <w:spacing w:before="0" w:beforeAutospacing="0" w:after="0" w:afterAutospacing="0" w:line="600" w:lineRule="exact"/>
        <w:ind w:firstLine="640" w:firstLineChars="200"/>
        <w:jc w:val="both"/>
        <w:rPr>
          <w:rFonts w:hint="eastAsia" w:ascii="仿宋" w:hAnsi="仿宋" w:eastAsia="仿宋"/>
          <w:sz w:val="32"/>
          <w:szCs w:val="32"/>
        </w:rPr>
      </w:pPr>
      <w:r>
        <w:rPr>
          <w:rFonts w:hint="eastAsia" w:ascii="仿宋" w:hAnsi="仿宋" w:eastAsia="仿宋"/>
          <w:sz w:val="32"/>
          <w:szCs w:val="32"/>
        </w:rPr>
        <w:t>（3）资金使用合规性：评价小组通过抽查项目实施单位的账簿记录、会计凭证以及相关的文件和合同等，项目资金支出基本符合《预算法》、《政府采购法》、《专项资金管理暂行办法》等规定，该项指标标准分值5分，评价得分4分。</w:t>
      </w:r>
    </w:p>
    <w:p>
      <w:pPr>
        <w:tabs>
          <w:tab w:val="left" w:pos="2805"/>
        </w:tabs>
        <w:spacing w:after="0" w:line="600" w:lineRule="exact"/>
        <w:ind w:firstLine="643" w:firstLineChars="200"/>
        <w:jc w:val="both"/>
        <w:rPr>
          <w:rStyle w:val="5"/>
          <w:rFonts w:hint="eastAsia" w:ascii="仿宋_GB2312" w:eastAsia="仿宋_GB2312"/>
          <w:color w:val="333333"/>
          <w:sz w:val="32"/>
          <w:szCs w:val="32"/>
          <w:shd w:val="clear" w:color="auto" w:fill="FFFFFF"/>
        </w:rPr>
      </w:pPr>
      <w:r>
        <w:rPr>
          <w:rStyle w:val="5"/>
          <w:rFonts w:hint="eastAsia" w:ascii="仿宋_GB2312" w:eastAsia="仿宋_GB2312"/>
          <w:color w:val="333333"/>
          <w:sz w:val="32"/>
          <w:szCs w:val="32"/>
          <w:shd w:val="clear" w:color="auto" w:fill="FFFFFF"/>
        </w:rPr>
        <w:t>2.组织实施</w:t>
      </w:r>
    </w:p>
    <w:p>
      <w:pPr>
        <w:tabs>
          <w:tab w:val="left" w:pos="2805"/>
        </w:tabs>
        <w:spacing w:after="0" w:line="600" w:lineRule="exact"/>
        <w:ind w:firstLine="640" w:firstLineChars="200"/>
        <w:jc w:val="both"/>
        <w:rPr>
          <w:rFonts w:hint="eastAsia" w:ascii="仿宋" w:hAnsi="仿宋" w:eastAsia="仿宋"/>
          <w:sz w:val="32"/>
          <w:szCs w:val="32"/>
        </w:rPr>
      </w:pPr>
      <w:r>
        <w:rPr>
          <w:rFonts w:hint="eastAsia" w:ascii="仿宋" w:hAnsi="仿宋" w:eastAsia="仿宋"/>
          <w:sz w:val="32"/>
          <w:szCs w:val="32"/>
        </w:rPr>
        <w:t>（1）管理制度健全性：项目实施单位制定了与项目相关的内部控制制度、财务会计制度、预算管理制度等相关制度，但未提供对下属事业单位的项目资金分配、使用、考核制度。该项指标标准分值5分，评价得分3分。</w:t>
      </w:r>
    </w:p>
    <w:p>
      <w:pPr>
        <w:tabs>
          <w:tab w:val="left" w:pos="2805"/>
        </w:tabs>
        <w:spacing w:after="0" w:line="600" w:lineRule="exact"/>
        <w:ind w:firstLine="640" w:firstLineChars="200"/>
        <w:jc w:val="both"/>
        <w:rPr>
          <w:rFonts w:ascii="仿宋" w:hAnsi="仿宋" w:eastAsia="仿宋"/>
          <w:sz w:val="32"/>
          <w:szCs w:val="32"/>
        </w:rPr>
      </w:pPr>
      <w:r>
        <w:rPr>
          <w:rFonts w:hint="eastAsia" w:ascii="仿宋" w:hAnsi="仿宋" w:eastAsia="仿宋"/>
          <w:sz w:val="32"/>
          <w:szCs w:val="32"/>
        </w:rPr>
        <w:t>（2）制度执行有效性：项目经费补助及政府采购符合制度规定；项目预算资金收支符合财务管理、预算管理、内部控制要求，会计核算规范、审批程序完备、相关资料齐全且及时归档，项目实施的支持条件能及时落实到位。该项指标标准分值5分，评价得分5分。</w:t>
      </w:r>
    </w:p>
    <w:p>
      <w:pPr>
        <w:spacing w:after="0" w:line="600" w:lineRule="exact"/>
        <w:ind w:firstLine="643" w:firstLineChars="200"/>
        <w:jc w:val="both"/>
        <w:rPr>
          <w:rFonts w:hint="eastAsia" w:ascii="楷体" w:hAnsi="楷体" w:eastAsia="楷体"/>
          <w:b/>
          <w:color w:val="auto"/>
          <w:sz w:val="32"/>
          <w:szCs w:val="32"/>
        </w:rPr>
      </w:pPr>
      <w:r>
        <w:rPr>
          <w:rFonts w:hint="eastAsia" w:ascii="楷体" w:hAnsi="楷体" w:eastAsia="楷体"/>
          <w:b/>
          <w:color w:val="auto"/>
          <w:sz w:val="32"/>
          <w:szCs w:val="32"/>
        </w:rPr>
        <w:t>（三）项目产出情况。</w:t>
      </w:r>
    </w:p>
    <w:p>
      <w:pPr>
        <w:spacing w:after="0" w:line="600" w:lineRule="exact"/>
        <w:ind w:firstLine="640" w:firstLineChars="200"/>
        <w:jc w:val="both"/>
        <w:rPr>
          <w:rFonts w:hint="eastAsia" w:ascii="仿宋" w:hAnsi="仿宋" w:eastAsia="仿宋" w:cs="宋体"/>
          <w:color w:val="auto"/>
          <w:sz w:val="32"/>
          <w:szCs w:val="32"/>
        </w:rPr>
      </w:pPr>
      <w:r>
        <w:rPr>
          <w:rFonts w:hint="eastAsia" w:ascii="仿宋" w:hAnsi="仿宋" w:eastAsia="仿宋" w:cs="宋体"/>
          <w:color w:val="auto"/>
          <w:sz w:val="32"/>
          <w:szCs w:val="32"/>
        </w:rPr>
        <w:t>1、产出数量：202</w:t>
      </w:r>
      <w:r>
        <w:rPr>
          <w:rFonts w:hint="eastAsia" w:ascii="仿宋" w:hAnsi="仿宋" w:eastAsia="仿宋" w:cs="宋体"/>
          <w:color w:val="auto"/>
          <w:sz w:val="32"/>
          <w:szCs w:val="32"/>
          <w:lang w:val="en-US" w:eastAsia="zh-CN"/>
        </w:rPr>
        <w:t>3</w:t>
      </w:r>
      <w:r>
        <w:rPr>
          <w:rFonts w:hint="eastAsia" w:ascii="仿宋" w:hAnsi="仿宋" w:eastAsia="仿宋" w:cs="宋体"/>
          <w:color w:val="auto"/>
          <w:sz w:val="32"/>
          <w:szCs w:val="32"/>
        </w:rPr>
        <w:t>年度农村电影放映2636场；</w:t>
      </w:r>
      <w:r>
        <w:rPr>
          <w:rFonts w:hint="eastAsia" w:ascii="仿宋" w:hAnsi="仿宋" w:eastAsia="仿宋" w:cs="宋体"/>
          <w:color w:val="auto"/>
          <w:sz w:val="32"/>
          <w:szCs w:val="32"/>
          <w:lang w:eastAsia="zh-CN"/>
        </w:rPr>
        <w:t>补助</w:t>
      </w:r>
      <w:r>
        <w:rPr>
          <w:rFonts w:hint="eastAsia" w:ascii="仿宋" w:hAnsi="仿宋" w:eastAsia="仿宋" w:cs="宋体"/>
          <w:color w:val="auto"/>
          <w:sz w:val="32"/>
          <w:szCs w:val="32"/>
        </w:rPr>
        <w:t>农家书屋</w:t>
      </w:r>
      <w:r>
        <w:rPr>
          <w:rFonts w:hint="eastAsia" w:ascii="仿宋" w:hAnsi="仿宋" w:eastAsia="仿宋" w:cs="宋体"/>
          <w:color w:val="auto"/>
          <w:sz w:val="32"/>
          <w:szCs w:val="32"/>
          <w:lang w:val="en-US" w:eastAsia="zh-CN"/>
        </w:rPr>
        <w:t>183家</w:t>
      </w:r>
      <w:r>
        <w:rPr>
          <w:rFonts w:hint="eastAsia" w:ascii="仿宋" w:hAnsi="仿宋" w:eastAsia="仿宋" w:cs="宋体"/>
          <w:color w:val="auto"/>
          <w:sz w:val="32"/>
          <w:szCs w:val="32"/>
        </w:rPr>
        <w:t>；</w:t>
      </w:r>
      <w:r>
        <w:rPr>
          <w:rFonts w:hint="eastAsia" w:ascii="仿宋" w:hAnsi="仿宋" w:eastAsia="仿宋" w:cs="宋体"/>
          <w:color w:val="auto"/>
          <w:sz w:val="32"/>
          <w:szCs w:val="32"/>
          <w:lang w:eastAsia="zh-CN"/>
        </w:rPr>
        <w:t>送戏下乡场次</w:t>
      </w:r>
      <w:r>
        <w:rPr>
          <w:rFonts w:hint="eastAsia" w:ascii="仿宋" w:hAnsi="仿宋" w:eastAsia="仿宋" w:cs="宋体"/>
          <w:color w:val="auto"/>
          <w:sz w:val="32"/>
          <w:szCs w:val="32"/>
          <w:lang w:val="en-US" w:eastAsia="zh-CN"/>
        </w:rPr>
        <w:t>44场</w:t>
      </w:r>
      <w:r>
        <w:rPr>
          <w:rFonts w:hint="eastAsia" w:ascii="仿宋" w:hAnsi="仿宋" w:eastAsia="仿宋" w:cs="宋体"/>
          <w:color w:val="auto"/>
          <w:sz w:val="32"/>
          <w:szCs w:val="32"/>
        </w:rPr>
        <w:t>。该项指标标准分值8分，评价得分8分。</w:t>
      </w:r>
    </w:p>
    <w:p>
      <w:pPr>
        <w:spacing w:after="0" w:line="600" w:lineRule="exact"/>
        <w:ind w:firstLine="640" w:firstLineChars="200"/>
        <w:jc w:val="both"/>
        <w:rPr>
          <w:rFonts w:hint="eastAsia" w:ascii="微软雅黑" w:hAnsi="微软雅黑"/>
          <w:color w:val="auto"/>
          <w:sz w:val="23"/>
          <w:szCs w:val="23"/>
        </w:rPr>
      </w:pPr>
      <w:r>
        <w:rPr>
          <w:rFonts w:hint="eastAsia" w:ascii="仿宋" w:hAnsi="仿宋" w:eastAsia="仿宋" w:cs="宋体"/>
          <w:color w:val="auto"/>
          <w:sz w:val="32"/>
          <w:szCs w:val="32"/>
        </w:rPr>
        <w:t>2、产出质量：</w:t>
      </w:r>
      <w:r>
        <w:rPr>
          <w:rFonts w:hint="eastAsia" w:ascii="仿宋" w:hAnsi="仿宋" w:eastAsia="仿宋"/>
          <w:color w:val="auto"/>
          <w:sz w:val="32"/>
          <w:szCs w:val="32"/>
          <w:lang w:eastAsia="zh-CN"/>
        </w:rPr>
        <w:t>各项指标完成率达</w:t>
      </w:r>
      <w:r>
        <w:rPr>
          <w:rFonts w:hint="eastAsia" w:ascii="仿宋" w:hAnsi="仿宋" w:eastAsia="仿宋"/>
          <w:color w:val="auto"/>
          <w:sz w:val="32"/>
          <w:szCs w:val="32"/>
          <w:lang w:val="en-US" w:eastAsia="zh-CN"/>
        </w:rPr>
        <w:t>100%。</w:t>
      </w:r>
      <w:r>
        <w:rPr>
          <w:rFonts w:hint="eastAsia" w:ascii="仿宋" w:hAnsi="仿宋" w:eastAsia="仿宋"/>
          <w:color w:val="auto"/>
          <w:sz w:val="32"/>
          <w:szCs w:val="32"/>
        </w:rPr>
        <w:t>该项指标标准分值8分，评价得分8分。</w:t>
      </w:r>
    </w:p>
    <w:p>
      <w:pPr>
        <w:spacing w:after="0" w:line="600" w:lineRule="exact"/>
        <w:ind w:firstLine="640" w:firstLineChars="200"/>
        <w:jc w:val="both"/>
        <w:rPr>
          <w:rFonts w:hint="eastAsia" w:ascii="仿宋" w:hAnsi="仿宋" w:eastAsia="仿宋" w:cs="宋体"/>
          <w:color w:val="auto"/>
          <w:sz w:val="32"/>
          <w:szCs w:val="32"/>
        </w:rPr>
      </w:pPr>
      <w:r>
        <w:rPr>
          <w:rFonts w:hint="eastAsia" w:ascii="仿宋" w:hAnsi="仿宋" w:eastAsia="仿宋" w:cs="宋体"/>
          <w:color w:val="auto"/>
          <w:sz w:val="32"/>
          <w:szCs w:val="32"/>
        </w:rPr>
        <w:t>3、产出时效：渝水区文广新旅局根据进度及时拨付资金，该项指标标准分值6分，评价得分6分。</w:t>
      </w:r>
    </w:p>
    <w:p>
      <w:pPr>
        <w:spacing w:after="0" w:line="600" w:lineRule="exact"/>
        <w:ind w:firstLine="640" w:firstLineChars="200"/>
        <w:jc w:val="both"/>
        <w:rPr>
          <w:rFonts w:ascii="微软雅黑" w:hAnsi="微软雅黑"/>
          <w:color w:val="auto"/>
          <w:sz w:val="23"/>
          <w:szCs w:val="23"/>
        </w:rPr>
      </w:pPr>
      <w:r>
        <w:rPr>
          <w:rFonts w:hint="eastAsia" w:ascii="仿宋" w:hAnsi="仿宋" w:eastAsia="仿宋" w:cs="宋体"/>
          <w:color w:val="auto"/>
          <w:sz w:val="32"/>
          <w:szCs w:val="32"/>
          <w:lang w:val="en-US" w:eastAsia="zh-CN"/>
        </w:rPr>
        <w:t>4</w:t>
      </w:r>
      <w:r>
        <w:rPr>
          <w:rFonts w:hint="eastAsia" w:ascii="仿宋" w:hAnsi="仿宋" w:eastAsia="仿宋" w:cs="宋体"/>
          <w:color w:val="auto"/>
          <w:sz w:val="32"/>
          <w:szCs w:val="32"/>
        </w:rPr>
        <w:t>、产出成本：202</w:t>
      </w:r>
      <w:r>
        <w:rPr>
          <w:rFonts w:hint="eastAsia" w:ascii="仿宋" w:hAnsi="仿宋" w:eastAsia="仿宋" w:cs="宋体"/>
          <w:color w:val="auto"/>
          <w:sz w:val="32"/>
          <w:szCs w:val="32"/>
          <w:lang w:val="en-US" w:eastAsia="zh-CN"/>
        </w:rPr>
        <w:t>3</w:t>
      </w:r>
      <w:r>
        <w:rPr>
          <w:rFonts w:hint="eastAsia" w:ascii="仿宋" w:hAnsi="仿宋" w:eastAsia="仿宋" w:cs="宋体"/>
          <w:color w:val="auto"/>
          <w:sz w:val="32"/>
          <w:szCs w:val="32"/>
        </w:rPr>
        <w:t>年公共文化服务体系建设经费计划支出</w:t>
      </w:r>
      <w:r>
        <w:rPr>
          <w:rFonts w:hint="eastAsia" w:ascii="仿宋" w:hAnsi="仿宋" w:eastAsia="仿宋" w:cs="宋体"/>
          <w:color w:val="auto"/>
          <w:sz w:val="32"/>
          <w:szCs w:val="32"/>
          <w:lang w:val="en-US" w:eastAsia="zh-CN"/>
        </w:rPr>
        <w:t>391.77</w:t>
      </w:r>
      <w:r>
        <w:rPr>
          <w:rFonts w:hint="eastAsia" w:ascii="仿宋" w:hAnsi="仿宋" w:eastAsia="仿宋" w:cs="宋体"/>
          <w:color w:val="auto"/>
          <w:sz w:val="32"/>
          <w:szCs w:val="32"/>
        </w:rPr>
        <w:t>万元，实际支出</w:t>
      </w:r>
      <w:r>
        <w:rPr>
          <w:rFonts w:hint="eastAsia" w:ascii="仿宋" w:hAnsi="仿宋" w:eastAsia="仿宋" w:cs="宋体"/>
          <w:color w:val="auto"/>
          <w:sz w:val="32"/>
          <w:szCs w:val="32"/>
          <w:lang w:val="en-US" w:eastAsia="zh-CN"/>
        </w:rPr>
        <w:t>391.77</w:t>
      </w:r>
      <w:r>
        <w:rPr>
          <w:rFonts w:hint="eastAsia" w:ascii="仿宋" w:hAnsi="仿宋" w:eastAsia="仿宋" w:cs="宋体"/>
          <w:color w:val="auto"/>
          <w:sz w:val="32"/>
          <w:szCs w:val="32"/>
        </w:rPr>
        <w:t>万元；成本节约率=（计划成本-实际成本）/计划成本×100%=（</w:t>
      </w:r>
      <w:r>
        <w:rPr>
          <w:rFonts w:hint="eastAsia" w:ascii="仿宋" w:hAnsi="仿宋" w:eastAsia="仿宋" w:cs="宋体"/>
          <w:color w:val="auto"/>
          <w:sz w:val="32"/>
          <w:szCs w:val="32"/>
          <w:lang w:val="en-US" w:eastAsia="zh-CN"/>
        </w:rPr>
        <w:t>391.77</w:t>
      </w:r>
      <w:r>
        <w:rPr>
          <w:rFonts w:hint="eastAsia" w:ascii="仿宋" w:hAnsi="仿宋" w:eastAsia="仿宋" w:cs="宋体"/>
          <w:color w:val="auto"/>
          <w:sz w:val="32"/>
          <w:szCs w:val="32"/>
        </w:rPr>
        <w:t>-</w:t>
      </w:r>
      <w:r>
        <w:rPr>
          <w:rFonts w:hint="eastAsia" w:ascii="仿宋" w:hAnsi="仿宋" w:eastAsia="仿宋" w:cs="宋体"/>
          <w:color w:val="auto"/>
          <w:sz w:val="32"/>
          <w:szCs w:val="32"/>
          <w:lang w:val="en-US" w:eastAsia="zh-CN"/>
        </w:rPr>
        <w:t>391.77</w:t>
      </w:r>
      <w:r>
        <w:rPr>
          <w:rFonts w:hint="eastAsia" w:ascii="仿宋" w:hAnsi="仿宋" w:eastAsia="仿宋" w:cs="宋体"/>
          <w:color w:val="auto"/>
          <w:sz w:val="32"/>
          <w:szCs w:val="32"/>
        </w:rPr>
        <w:t>）/</w:t>
      </w:r>
      <w:r>
        <w:rPr>
          <w:rFonts w:hint="eastAsia" w:ascii="仿宋" w:hAnsi="仿宋" w:eastAsia="仿宋" w:cs="宋体"/>
          <w:color w:val="auto"/>
          <w:sz w:val="32"/>
          <w:szCs w:val="32"/>
          <w:lang w:val="en-US" w:eastAsia="zh-CN"/>
        </w:rPr>
        <w:t>391.77</w:t>
      </w:r>
      <w:r>
        <w:rPr>
          <w:rFonts w:hint="eastAsia" w:ascii="仿宋" w:hAnsi="仿宋" w:eastAsia="仿宋" w:cs="宋体"/>
          <w:color w:val="auto"/>
          <w:sz w:val="32"/>
          <w:szCs w:val="32"/>
        </w:rPr>
        <w:t>×100%=0%，该项指标标准分值8分，评价得分8分。</w:t>
      </w:r>
    </w:p>
    <w:p>
      <w:pPr>
        <w:spacing w:after="0" w:line="600" w:lineRule="exact"/>
        <w:ind w:firstLine="643" w:firstLineChars="200"/>
        <w:jc w:val="both"/>
        <w:rPr>
          <w:rFonts w:hint="eastAsia" w:ascii="楷体" w:hAnsi="楷体" w:eastAsia="楷体"/>
          <w:b/>
          <w:color w:val="auto"/>
          <w:sz w:val="32"/>
          <w:szCs w:val="32"/>
        </w:rPr>
      </w:pPr>
      <w:r>
        <w:rPr>
          <w:rFonts w:hint="eastAsia" w:ascii="楷体" w:hAnsi="楷体" w:eastAsia="楷体"/>
          <w:b/>
          <w:color w:val="auto"/>
          <w:sz w:val="32"/>
          <w:szCs w:val="32"/>
        </w:rPr>
        <w:t>（四）项目效益情况。</w:t>
      </w:r>
    </w:p>
    <w:p>
      <w:pPr>
        <w:spacing w:after="0" w:line="600" w:lineRule="exact"/>
        <w:ind w:firstLine="640" w:firstLineChars="200"/>
        <w:jc w:val="both"/>
        <w:rPr>
          <w:rFonts w:hint="eastAsia" w:ascii="仿宋" w:hAnsi="仿宋" w:eastAsia="仿宋" w:cs="宋体"/>
          <w:color w:val="auto"/>
          <w:sz w:val="32"/>
          <w:szCs w:val="32"/>
        </w:rPr>
      </w:pPr>
      <w:r>
        <w:rPr>
          <w:rFonts w:hint="eastAsia" w:ascii="仿宋" w:hAnsi="仿宋" w:eastAsia="仿宋" w:cs="宋体"/>
          <w:color w:val="auto"/>
          <w:sz w:val="32"/>
          <w:szCs w:val="32"/>
        </w:rPr>
        <w:t>渝水区文广新旅局，通过服务中心、服务群众，夯实文化阵地建设，不断丰富文化惠民活动、基层文艺队伍，推进文旅融合发展，基本公共文化服务标准化水平明显提高，人民群众的文化获得感显著增强。</w:t>
      </w:r>
    </w:p>
    <w:p>
      <w:pPr>
        <w:spacing w:after="0" w:line="600" w:lineRule="exact"/>
        <w:ind w:firstLine="640" w:firstLineChars="200"/>
        <w:jc w:val="both"/>
        <w:rPr>
          <w:rFonts w:hint="eastAsia" w:ascii="仿宋" w:hAnsi="仿宋" w:eastAsia="仿宋" w:cs="宋体"/>
          <w:color w:val="auto"/>
          <w:sz w:val="32"/>
          <w:szCs w:val="32"/>
        </w:rPr>
      </w:pPr>
      <w:r>
        <w:rPr>
          <w:rFonts w:hint="eastAsia" w:ascii="仿宋" w:hAnsi="仿宋" w:eastAsia="仿宋" w:cs="宋体"/>
          <w:color w:val="auto"/>
          <w:sz w:val="32"/>
          <w:szCs w:val="32"/>
        </w:rPr>
        <w:t>1、实施效益：根据调查走访，调查对象认为今年公共文化服务体系的构建进度较好，我区文化软实力明显得到提升，社会效益显著，标准分值</w:t>
      </w:r>
      <w:r>
        <w:rPr>
          <w:rFonts w:hint="eastAsia" w:ascii="仿宋" w:hAnsi="仿宋" w:eastAsia="仿宋" w:cs="宋体"/>
          <w:color w:val="auto"/>
          <w:sz w:val="32"/>
          <w:szCs w:val="32"/>
          <w:lang w:val="en-US" w:eastAsia="zh-CN"/>
        </w:rPr>
        <w:t>10</w:t>
      </w:r>
      <w:r>
        <w:rPr>
          <w:rFonts w:hint="eastAsia" w:ascii="仿宋" w:hAnsi="仿宋" w:eastAsia="仿宋" w:cs="宋体"/>
          <w:color w:val="auto"/>
          <w:sz w:val="32"/>
          <w:szCs w:val="32"/>
        </w:rPr>
        <w:t>分，评价得分</w:t>
      </w:r>
      <w:r>
        <w:rPr>
          <w:rFonts w:hint="eastAsia" w:ascii="仿宋" w:hAnsi="仿宋" w:eastAsia="仿宋" w:cs="宋体"/>
          <w:color w:val="auto"/>
          <w:sz w:val="32"/>
          <w:szCs w:val="32"/>
          <w:lang w:val="en-US" w:eastAsia="zh-CN"/>
        </w:rPr>
        <w:t>9</w:t>
      </w:r>
      <w:r>
        <w:rPr>
          <w:rFonts w:hint="eastAsia" w:ascii="仿宋" w:hAnsi="仿宋" w:eastAsia="仿宋" w:cs="宋体"/>
          <w:color w:val="auto"/>
          <w:sz w:val="32"/>
          <w:szCs w:val="32"/>
        </w:rPr>
        <w:t>分；公共文化服务体系建设能促进我区经济社会可持续发展，标准得分</w:t>
      </w:r>
      <w:r>
        <w:rPr>
          <w:rFonts w:hint="eastAsia" w:ascii="仿宋" w:hAnsi="仿宋" w:eastAsia="仿宋" w:cs="宋体"/>
          <w:color w:val="auto"/>
          <w:sz w:val="32"/>
          <w:szCs w:val="32"/>
          <w:lang w:val="en-US" w:eastAsia="zh-CN"/>
        </w:rPr>
        <w:t>10</w:t>
      </w:r>
      <w:r>
        <w:rPr>
          <w:rFonts w:hint="eastAsia" w:ascii="仿宋" w:hAnsi="仿宋" w:eastAsia="仿宋" w:cs="宋体"/>
          <w:color w:val="auto"/>
          <w:sz w:val="32"/>
          <w:szCs w:val="32"/>
        </w:rPr>
        <w:t>分，评价得分</w:t>
      </w:r>
      <w:r>
        <w:rPr>
          <w:rFonts w:hint="eastAsia" w:ascii="仿宋" w:hAnsi="仿宋" w:eastAsia="仿宋" w:cs="宋体"/>
          <w:color w:val="auto"/>
          <w:sz w:val="32"/>
          <w:szCs w:val="32"/>
          <w:lang w:val="en-US" w:eastAsia="zh-CN"/>
        </w:rPr>
        <w:t>9</w:t>
      </w:r>
      <w:r>
        <w:rPr>
          <w:rFonts w:hint="eastAsia" w:ascii="仿宋" w:hAnsi="仿宋" w:eastAsia="仿宋" w:cs="宋体"/>
          <w:color w:val="auto"/>
          <w:sz w:val="32"/>
          <w:szCs w:val="32"/>
        </w:rPr>
        <w:t>分。</w:t>
      </w:r>
    </w:p>
    <w:p>
      <w:pPr>
        <w:spacing w:after="0" w:line="600" w:lineRule="exact"/>
        <w:ind w:firstLine="640" w:firstLineChars="200"/>
        <w:jc w:val="both"/>
        <w:rPr>
          <w:rFonts w:ascii="仿宋" w:hAnsi="仿宋" w:eastAsia="仿宋" w:cs="宋体"/>
          <w:color w:val="auto"/>
          <w:sz w:val="32"/>
          <w:szCs w:val="32"/>
        </w:rPr>
      </w:pPr>
      <w:r>
        <w:rPr>
          <w:rFonts w:hint="eastAsia" w:ascii="仿宋" w:hAnsi="仿宋" w:eastAsia="仿宋" w:cs="宋体"/>
          <w:color w:val="auto"/>
          <w:sz w:val="32"/>
          <w:szCs w:val="32"/>
        </w:rPr>
        <w:t>2、满意度：评价小组通过实地调查，受访对象满意度92%，该项指标标准分值10分，评价得分9分。</w:t>
      </w:r>
    </w:p>
    <w:p>
      <w:pPr>
        <w:spacing w:after="0" w:line="600" w:lineRule="exact"/>
        <w:ind w:firstLine="640" w:firstLineChars="200"/>
        <w:jc w:val="both"/>
        <w:rPr>
          <w:rFonts w:hint="eastAsia" w:ascii="黑体" w:hAnsi="黑体" w:eastAsia="黑体"/>
          <w:sz w:val="32"/>
          <w:szCs w:val="32"/>
        </w:rPr>
      </w:pPr>
      <w:r>
        <w:rPr>
          <w:rFonts w:hint="eastAsia" w:ascii="黑体" w:hAnsi="黑体" w:eastAsia="黑体"/>
          <w:sz w:val="32"/>
          <w:szCs w:val="32"/>
        </w:rPr>
        <w:t>五、主要经验及做法、存在的问题及原因分析</w:t>
      </w:r>
    </w:p>
    <w:p>
      <w:pPr>
        <w:spacing w:after="0" w:line="600" w:lineRule="exact"/>
        <w:ind w:firstLine="643" w:firstLineChars="200"/>
        <w:jc w:val="both"/>
        <w:rPr>
          <w:rFonts w:ascii="楷体" w:hAnsi="楷体" w:eastAsia="楷体"/>
          <w:color w:val="333333"/>
          <w:sz w:val="32"/>
          <w:szCs w:val="32"/>
        </w:rPr>
      </w:pPr>
      <w:r>
        <w:rPr>
          <w:rStyle w:val="5"/>
          <w:rFonts w:hint="eastAsia" w:ascii="楷体" w:hAnsi="楷体" w:eastAsia="楷体"/>
          <w:color w:val="333333"/>
          <w:sz w:val="32"/>
          <w:szCs w:val="32"/>
        </w:rPr>
        <w:t>（一）主要经验及做法</w:t>
      </w:r>
    </w:p>
    <w:p>
      <w:pPr>
        <w:pStyle w:val="2"/>
        <w:spacing w:before="0" w:beforeAutospacing="0" w:after="0" w:afterAutospacing="0" w:line="600" w:lineRule="exact"/>
        <w:ind w:firstLine="640" w:firstLineChars="200"/>
        <w:jc w:val="both"/>
        <w:rPr>
          <w:rFonts w:ascii="仿宋" w:hAnsi="仿宋" w:eastAsia="仿宋" w:cstheme="minorBidi"/>
          <w:sz w:val="32"/>
          <w:szCs w:val="32"/>
        </w:rPr>
      </w:pPr>
      <w:r>
        <w:rPr>
          <w:rFonts w:hint="eastAsia" w:ascii="仿宋" w:hAnsi="仿宋" w:eastAsia="仿宋" w:cstheme="minorBidi"/>
          <w:sz w:val="32"/>
          <w:szCs w:val="32"/>
        </w:rPr>
        <w:t>渝水区文广新旅局统筹规划全区文化事业以及文化产业相关门类发展，拟订相关发展规划并组织实施；负责全区公共文化事业发展，推进公共文化服务体系建设，指导全区重点及基层文化建设，深入实施文化惠民工程，统筹推进基本公共文化服务标准化、均等化。</w:t>
      </w:r>
    </w:p>
    <w:p>
      <w:pPr>
        <w:pStyle w:val="2"/>
        <w:spacing w:before="0" w:beforeAutospacing="0" w:after="0" w:afterAutospacing="0" w:line="600" w:lineRule="exact"/>
        <w:ind w:firstLine="640" w:firstLineChars="200"/>
        <w:jc w:val="both"/>
        <w:rPr>
          <w:rFonts w:hint="eastAsia" w:ascii="仿宋" w:hAnsi="仿宋" w:eastAsia="仿宋" w:cstheme="minorBidi"/>
          <w:sz w:val="32"/>
          <w:szCs w:val="32"/>
        </w:rPr>
      </w:pPr>
      <w:r>
        <w:rPr>
          <w:rFonts w:hint="eastAsia" w:ascii="仿宋" w:hAnsi="仿宋" w:eastAsia="仿宋" w:cstheme="minorBidi"/>
          <w:sz w:val="32"/>
          <w:szCs w:val="32"/>
        </w:rPr>
        <w:t>指导辖区文化馆、图书馆、影院等开展文化服务活动，统筹协调各部门配合，以顺利开展各类文化活动；及时拨付财政资金，保障各类活动展开的资金运转，提供资金支持；完善各项制度，加强队伍建设，加快公共文化服务体系建设。</w:t>
      </w:r>
    </w:p>
    <w:p>
      <w:pPr>
        <w:spacing w:after="0" w:line="600" w:lineRule="exact"/>
        <w:ind w:firstLine="643" w:firstLineChars="200"/>
        <w:jc w:val="both"/>
        <w:rPr>
          <w:rStyle w:val="5"/>
          <w:rFonts w:hint="eastAsia" w:ascii="楷体" w:hAnsi="楷体" w:eastAsia="楷体"/>
          <w:sz w:val="32"/>
          <w:szCs w:val="32"/>
        </w:rPr>
      </w:pPr>
      <w:r>
        <w:rPr>
          <w:rStyle w:val="5"/>
          <w:rFonts w:hint="eastAsia" w:ascii="楷体" w:hAnsi="楷体" w:eastAsia="楷体"/>
          <w:color w:val="333333"/>
          <w:sz w:val="32"/>
          <w:szCs w:val="32"/>
        </w:rPr>
        <w:t>（二）存在问题及原因分析</w:t>
      </w:r>
    </w:p>
    <w:p>
      <w:pPr>
        <w:pStyle w:val="2"/>
        <w:spacing w:before="0" w:beforeAutospacing="0" w:after="0" w:afterAutospacing="0" w:line="600" w:lineRule="exact"/>
        <w:ind w:firstLine="800" w:firstLineChars="250"/>
        <w:jc w:val="both"/>
        <w:rPr>
          <w:rFonts w:hint="eastAsia" w:ascii="仿宋" w:hAnsi="仿宋" w:eastAsia="仿宋" w:cstheme="minorBidi"/>
          <w:sz w:val="32"/>
          <w:szCs w:val="32"/>
        </w:rPr>
      </w:pPr>
      <w:r>
        <w:rPr>
          <w:rFonts w:hint="eastAsia" w:ascii="仿宋" w:hAnsi="仿宋" w:eastAsia="仿宋" w:cstheme="minorBidi"/>
          <w:sz w:val="32"/>
          <w:szCs w:val="32"/>
        </w:rPr>
        <w:t>评价小组根据对项目决策情况、项目实施过程的管理情况、项目绩效目标的实现情况进行分析判断，以及项目实施后调查问卷的汇总归纳，认为项目实施存在如下问题：</w:t>
      </w:r>
    </w:p>
    <w:p>
      <w:pPr>
        <w:spacing w:after="0" w:line="600" w:lineRule="exact"/>
        <w:ind w:firstLine="627" w:firstLineChars="196"/>
        <w:jc w:val="both"/>
        <w:rPr>
          <w:rFonts w:hint="eastAsia" w:ascii="仿宋" w:hAnsi="仿宋" w:eastAsia="仿宋"/>
          <w:sz w:val="32"/>
          <w:szCs w:val="32"/>
        </w:rPr>
      </w:pPr>
      <w:r>
        <w:rPr>
          <w:rFonts w:hint="eastAsia" w:ascii="仿宋" w:hAnsi="仿宋" w:eastAsia="仿宋"/>
          <w:sz w:val="32"/>
          <w:szCs w:val="32"/>
        </w:rPr>
        <w:t>1.项目实施及拨付有所延迟，但均于202</w:t>
      </w:r>
      <w:r>
        <w:rPr>
          <w:rFonts w:hint="eastAsia" w:ascii="仿宋" w:hAnsi="仿宋" w:eastAsia="仿宋"/>
          <w:sz w:val="32"/>
          <w:szCs w:val="32"/>
          <w:lang w:val="en-US" w:eastAsia="zh-CN"/>
        </w:rPr>
        <w:t>4</w:t>
      </w:r>
      <w:r>
        <w:rPr>
          <w:rFonts w:hint="eastAsia" w:ascii="仿宋" w:hAnsi="仿宋" w:eastAsia="仿宋"/>
          <w:sz w:val="32"/>
          <w:szCs w:val="32"/>
        </w:rPr>
        <w:t>年1月份足额拨付到位，截至202</w:t>
      </w:r>
      <w:r>
        <w:rPr>
          <w:rFonts w:hint="eastAsia" w:ascii="仿宋" w:hAnsi="仿宋" w:eastAsia="仿宋"/>
          <w:sz w:val="32"/>
          <w:szCs w:val="32"/>
          <w:lang w:val="en-US" w:eastAsia="zh-CN"/>
        </w:rPr>
        <w:t>4</w:t>
      </w:r>
      <w:r>
        <w:rPr>
          <w:rFonts w:hint="eastAsia" w:ascii="仿宋" w:hAnsi="仿宋" w:eastAsia="仿宋"/>
          <w:sz w:val="32"/>
          <w:szCs w:val="32"/>
        </w:rPr>
        <w:t>年1月31日，资金执行率100%。</w:t>
      </w:r>
    </w:p>
    <w:p>
      <w:pPr>
        <w:spacing w:after="0" w:line="600" w:lineRule="exact"/>
        <w:ind w:firstLine="627" w:firstLineChars="196"/>
        <w:jc w:val="both"/>
        <w:rPr>
          <w:rFonts w:ascii="仿宋" w:hAnsi="仿宋" w:eastAsia="仿宋"/>
          <w:sz w:val="32"/>
          <w:szCs w:val="32"/>
        </w:rPr>
      </w:pPr>
      <w:r>
        <w:rPr>
          <w:rFonts w:hint="eastAsia" w:ascii="仿宋" w:hAnsi="仿宋" w:eastAsia="仿宋"/>
          <w:sz w:val="32"/>
          <w:szCs w:val="32"/>
        </w:rPr>
        <w:t>2.文化基础设施建设仍需加强。区文化馆、图书馆年代久远，馆舍面积和基础设施达不到国家对县级馆的要求。乡镇（办）虽然实现综合文化站全覆盖，但基础设施还参差不齐；受城市管理体制的制约，城区街道办除新钢办有属于自己产权的站房外，其余街道办站房均与辖区内的社区或管理处共建，资源共享。</w:t>
      </w:r>
    </w:p>
    <w:p>
      <w:pPr>
        <w:spacing w:after="0" w:line="600" w:lineRule="exact"/>
        <w:ind w:firstLine="640" w:firstLineChars="200"/>
        <w:jc w:val="both"/>
        <w:rPr>
          <w:rFonts w:hint="eastAsia" w:ascii="仿宋" w:hAnsi="仿宋" w:eastAsia="仿宋"/>
          <w:sz w:val="32"/>
          <w:szCs w:val="32"/>
        </w:rPr>
      </w:pPr>
      <w:r>
        <w:rPr>
          <w:rFonts w:hint="eastAsia" w:ascii="仿宋" w:hAnsi="仿宋" w:eastAsia="仿宋"/>
          <w:sz w:val="32"/>
          <w:szCs w:val="32"/>
        </w:rPr>
        <w:t>3.文化建设资金仍需加大，国家对社会事业方面的投资政策更多倾向于教育、卫生、科技等领域，对文化方面的投投资幅度小、额度少，远远低于教育和卫生的投资比例。区乡两级财政对文化建设的投入比例也相对不足，难于满足当前文化建设的需求。</w:t>
      </w:r>
    </w:p>
    <w:p>
      <w:pPr>
        <w:spacing w:after="0" w:line="600" w:lineRule="exact"/>
        <w:ind w:firstLine="640" w:firstLineChars="200"/>
        <w:jc w:val="both"/>
        <w:rPr>
          <w:rFonts w:ascii="仿宋" w:hAnsi="仿宋" w:eastAsia="仿宋"/>
          <w:sz w:val="32"/>
          <w:szCs w:val="32"/>
        </w:rPr>
      </w:pPr>
      <w:r>
        <w:rPr>
          <w:rFonts w:hint="eastAsia" w:ascii="仿宋" w:hAnsi="仿宋" w:eastAsia="仿宋"/>
          <w:sz w:val="32"/>
          <w:szCs w:val="32"/>
        </w:rPr>
        <w:t>4、对下属事业单位的经费分配、使用、考核管理制度有待进一步健全。</w:t>
      </w:r>
    </w:p>
    <w:p>
      <w:pPr>
        <w:spacing w:after="0" w:line="600" w:lineRule="exact"/>
        <w:ind w:firstLine="640" w:firstLineChars="200"/>
        <w:jc w:val="both"/>
        <w:rPr>
          <w:rFonts w:hint="eastAsia" w:ascii="黑体" w:hAnsi="黑体" w:eastAsia="黑体"/>
          <w:sz w:val="32"/>
          <w:szCs w:val="32"/>
        </w:rPr>
      </w:pPr>
      <w:r>
        <w:rPr>
          <w:rFonts w:hint="eastAsia" w:ascii="黑体" w:hAnsi="黑体" w:eastAsia="黑体"/>
          <w:sz w:val="32"/>
          <w:szCs w:val="32"/>
        </w:rPr>
        <w:t>六、有关建议</w:t>
      </w:r>
    </w:p>
    <w:p>
      <w:pPr>
        <w:spacing w:after="0" w:line="600" w:lineRule="exact"/>
        <w:ind w:firstLine="640" w:firstLineChars="200"/>
        <w:jc w:val="both"/>
        <w:rPr>
          <w:rFonts w:hint="eastAsia" w:ascii="仿宋_GB2312" w:eastAsia="仿宋_GB2312"/>
          <w:sz w:val="32"/>
          <w:szCs w:val="32"/>
        </w:rPr>
      </w:pPr>
      <w:r>
        <w:rPr>
          <w:rFonts w:hint="eastAsia" w:ascii="仿宋_GB2312" w:eastAsia="仿宋_GB2312"/>
          <w:sz w:val="32"/>
          <w:szCs w:val="32"/>
        </w:rPr>
        <w:t>1.</w:t>
      </w:r>
      <w:r>
        <w:rPr>
          <w:rFonts w:hint="eastAsia" w:ascii="仿宋_GB2312" w:hAnsi="仿宋" w:eastAsia="仿宋_GB2312"/>
          <w:sz w:val="32"/>
          <w:szCs w:val="32"/>
        </w:rPr>
        <w:t xml:space="preserve"> 参照并对比年初设置的绩效目标，强化支出分析，对今后实际支出预算过快或过慢、占比不合理的情况，及时控制并纠正，</w:t>
      </w:r>
      <w:r>
        <w:rPr>
          <w:rFonts w:hint="eastAsia" w:ascii="仿宋_GB2312" w:hAnsi="仿宋" w:eastAsia="仿宋_GB2312"/>
          <w:color w:val="000000"/>
          <w:sz w:val="32"/>
          <w:szCs w:val="32"/>
          <w:shd w:val="clear" w:color="auto" w:fill="FFFFFF"/>
        </w:rPr>
        <w:t>督促未完成的项目要抓紧时间，加快进度，保障项目尽快投入使用，</w:t>
      </w:r>
      <w:r>
        <w:rPr>
          <w:rFonts w:hint="eastAsia" w:ascii="仿宋_GB2312" w:hAnsi="仿宋" w:eastAsia="仿宋_GB2312"/>
          <w:sz w:val="32"/>
          <w:szCs w:val="32"/>
        </w:rPr>
        <w:t>确保全年绩效目标顺利完成。</w:t>
      </w:r>
    </w:p>
    <w:p>
      <w:pPr>
        <w:spacing w:after="0" w:line="600" w:lineRule="exact"/>
        <w:ind w:firstLine="640" w:firstLineChars="200"/>
        <w:jc w:val="both"/>
        <w:rPr>
          <w:rFonts w:hint="eastAsia" w:ascii="仿宋_GB2312" w:eastAsia="仿宋_GB2312"/>
          <w:sz w:val="32"/>
          <w:szCs w:val="32"/>
        </w:rPr>
      </w:pPr>
      <w:r>
        <w:rPr>
          <w:rFonts w:hint="eastAsia" w:ascii="仿宋_GB2312" w:eastAsia="仿宋_GB2312"/>
          <w:sz w:val="32"/>
          <w:szCs w:val="32"/>
        </w:rPr>
        <w:t>2.要切实加大对基层文化建设的投入，确保文化事业经费的增长不低于当年财政收入的增长幅度，用于文化馆、文化站和文化室硬件建设，完善农村公共文化服务网络。要进一步落实文化经济政策，引导民间资金投向农村文化事业，鼓励农民自筹资金组建文艺团体；对捐赠文化建设的民营企业出台优惠政策，进一步促进投资主体的多元化。</w:t>
      </w:r>
    </w:p>
    <w:p>
      <w:pPr>
        <w:spacing w:after="0" w:line="600" w:lineRule="exact"/>
        <w:ind w:firstLine="640" w:firstLineChars="200"/>
        <w:jc w:val="both"/>
        <w:rPr>
          <w:rFonts w:hint="eastAsia" w:ascii="仿宋_GB2312" w:eastAsia="仿宋_GB2312"/>
          <w:sz w:val="32"/>
          <w:szCs w:val="32"/>
        </w:rPr>
      </w:pPr>
      <w:r>
        <w:rPr>
          <w:rFonts w:hint="eastAsia" w:ascii="仿宋_GB2312" w:eastAsia="仿宋_GB2312"/>
          <w:sz w:val="32"/>
          <w:szCs w:val="32"/>
        </w:rPr>
        <w:t>3.要严格按照专项资金管理办法规范使用，在投入建设同时，加强使用管理，专款专用，提高财政资金使用的合规性。</w:t>
      </w:r>
    </w:p>
    <w:p>
      <w:pPr>
        <w:spacing w:after="0" w:line="600" w:lineRule="exact"/>
        <w:ind w:firstLine="640" w:firstLineChars="200"/>
        <w:jc w:val="both"/>
        <w:rPr>
          <w:rFonts w:ascii="仿宋_GB2312" w:hAnsi="宋体" w:eastAsia="仿宋_GB2312"/>
          <w:sz w:val="32"/>
          <w:szCs w:val="32"/>
        </w:rPr>
      </w:pPr>
      <w:r>
        <w:rPr>
          <w:rFonts w:hint="eastAsia" w:ascii="仿宋_GB2312" w:eastAsia="仿宋_GB2312"/>
          <w:sz w:val="32"/>
          <w:szCs w:val="32"/>
        </w:rPr>
        <w:t>4.要进一步健全“公共文化服务体系建设经费”的分配、使用和考核办法，加强对城乡结合部、乡镇等基层公共文化设施的投入和基层文化队伍的建设，关注、引导和满足基层群众、青少年儿童对健康文化生活的需求；加强对项目资金产出考核，提高财政资金使用的社会效益。</w:t>
      </w:r>
    </w:p>
    <w:p>
      <w:pPr>
        <w:spacing w:after="0" w:line="600" w:lineRule="exact"/>
        <w:ind w:firstLine="640" w:firstLineChars="200"/>
        <w:jc w:val="both"/>
        <w:rPr>
          <w:rFonts w:ascii="黑体" w:hAnsi="黑体" w:eastAsia="黑体"/>
          <w:sz w:val="32"/>
          <w:szCs w:val="32"/>
        </w:rPr>
      </w:pPr>
      <w:r>
        <w:rPr>
          <w:rFonts w:hint="eastAsia" w:ascii="黑体" w:hAnsi="黑体" w:eastAsia="黑体"/>
          <w:sz w:val="32"/>
          <w:szCs w:val="32"/>
        </w:rPr>
        <w:t>七、其他需要说明的问题</w:t>
      </w:r>
    </w:p>
    <w:p>
      <w:pPr>
        <w:spacing w:after="0" w:line="600" w:lineRule="exact"/>
        <w:ind w:firstLine="640" w:firstLineChars="200"/>
        <w:jc w:val="both"/>
        <w:rPr>
          <w:rFonts w:ascii="黑体" w:hAnsi="黑体" w:eastAsia="黑体"/>
          <w:sz w:val="32"/>
          <w:szCs w:val="32"/>
        </w:rPr>
      </w:pPr>
      <w:r>
        <w:rPr>
          <w:rFonts w:hint="eastAsia" w:ascii="黑体" w:hAnsi="黑体" w:eastAsia="黑体"/>
          <w:sz w:val="32"/>
          <w:szCs w:val="32"/>
        </w:rPr>
        <w:t>无</w:t>
      </w:r>
    </w:p>
    <w:p>
      <w:pPr>
        <w:spacing w:line="578" w:lineRule="exact"/>
        <w:jc w:val="center"/>
        <w:rPr>
          <w:rFonts w:hint="eastAsia" w:ascii="方正小标宋简体" w:hAnsi="方正小标宋简体" w:eastAsia="方正小标宋简体" w:cs="方正小标宋简体"/>
          <w:bCs/>
          <w:sz w:val="44"/>
          <w:szCs w:val="44"/>
        </w:rPr>
      </w:pPr>
    </w:p>
    <w:p>
      <w:pPr>
        <w:spacing w:line="578" w:lineRule="exact"/>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部门评价表</w:t>
      </w:r>
    </w:p>
    <w:tbl>
      <w:tblPr>
        <w:tblStyle w:val="3"/>
        <w:tblpPr w:leftFromText="180" w:rightFromText="180" w:vertAnchor="text" w:horzAnchor="margin" w:tblpY="1189"/>
        <w:tblOverlap w:val="never"/>
        <w:tblW w:w="86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85" w:type="dxa"/>
          <w:bottom w:w="0" w:type="dxa"/>
          <w:right w:w="85" w:type="dxa"/>
        </w:tblCellMar>
      </w:tblPr>
      <w:tblGrid>
        <w:gridCol w:w="1344"/>
        <w:gridCol w:w="17"/>
        <w:gridCol w:w="497"/>
        <w:gridCol w:w="419"/>
        <w:gridCol w:w="703"/>
        <w:gridCol w:w="354"/>
        <w:gridCol w:w="215"/>
        <w:gridCol w:w="759"/>
        <w:gridCol w:w="231"/>
        <w:gridCol w:w="1034"/>
        <w:gridCol w:w="579"/>
        <w:gridCol w:w="423"/>
        <w:gridCol w:w="358"/>
        <w:gridCol w:w="23"/>
        <w:gridCol w:w="17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192" w:hRule="atLeast"/>
        </w:trPr>
        <w:tc>
          <w:tcPr>
            <w:tcW w:w="1858" w:type="dxa"/>
            <w:gridSpan w:val="3"/>
            <w:vAlign w:val="center"/>
          </w:tcPr>
          <w:p>
            <w:pPr>
              <w:spacing w:line="300" w:lineRule="exact"/>
              <w:jc w:val="center"/>
              <w:rPr>
                <w:rFonts w:ascii="宋体" w:hAnsi="宋体"/>
                <w:szCs w:val="21"/>
              </w:rPr>
            </w:pPr>
            <w:r>
              <w:rPr>
                <w:rFonts w:hint="eastAsia" w:ascii="宋体" w:hAnsi="宋体" w:eastAsia="宋体"/>
                <w:sz w:val="21"/>
                <w:szCs w:val="21"/>
              </w:rPr>
              <w:t>项目名称：</w:t>
            </w:r>
          </w:p>
        </w:tc>
        <w:tc>
          <w:tcPr>
            <w:tcW w:w="6822" w:type="dxa"/>
            <w:gridSpan w:val="12"/>
            <w:vAlign w:val="center"/>
          </w:tcPr>
          <w:p>
            <w:pPr>
              <w:spacing w:line="300" w:lineRule="exact"/>
              <w:rPr>
                <w:rFonts w:ascii="宋体" w:hAnsi="宋体"/>
                <w:szCs w:val="21"/>
              </w:rPr>
            </w:pPr>
            <w:r>
              <w:rPr>
                <w:rFonts w:hint="eastAsia" w:ascii="宋体" w:hAnsi="宋体"/>
                <w:szCs w:val="21"/>
              </w:rPr>
              <w:t>公共文化服务体系建设资金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192" w:hRule="atLeast"/>
        </w:trPr>
        <w:tc>
          <w:tcPr>
            <w:tcW w:w="1858" w:type="dxa"/>
            <w:gridSpan w:val="3"/>
            <w:vAlign w:val="center"/>
          </w:tcPr>
          <w:p>
            <w:pPr>
              <w:spacing w:line="300" w:lineRule="exact"/>
              <w:jc w:val="center"/>
              <w:rPr>
                <w:rFonts w:ascii="宋体" w:hAnsi="宋体"/>
                <w:szCs w:val="21"/>
              </w:rPr>
            </w:pPr>
            <w:r>
              <w:rPr>
                <w:rFonts w:hint="eastAsia" w:ascii="宋体" w:hAnsi="宋体" w:eastAsia="宋体"/>
                <w:sz w:val="21"/>
                <w:szCs w:val="21"/>
              </w:rPr>
              <w:t>主管部门</w:t>
            </w:r>
          </w:p>
        </w:tc>
        <w:tc>
          <w:tcPr>
            <w:tcW w:w="1476" w:type="dxa"/>
            <w:gridSpan w:val="3"/>
            <w:vAlign w:val="center"/>
          </w:tcPr>
          <w:p>
            <w:pPr>
              <w:spacing w:line="300" w:lineRule="exact"/>
              <w:jc w:val="center"/>
              <w:rPr>
                <w:rFonts w:ascii="宋体" w:hAnsi="宋体"/>
                <w:szCs w:val="21"/>
              </w:rPr>
            </w:pPr>
            <w:r>
              <w:rPr>
                <w:rFonts w:hint="eastAsia" w:ascii="宋体" w:hAnsi="宋体"/>
                <w:szCs w:val="21"/>
              </w:rPr>
              <w:t>渝水区文广新旅局</w:t>
            </w:r>
          </w:p>
        </w:tc>
        <w:tc>
          <w:tcPr>
            <w:tcW w:w="3241" w:type="dxa"/>
            <w:gridSpan w:val="6"/>
            <w:vAlign w:val="center"/>
          </w:tcPr>
          <w:p>
            <w:pPr>
              <w:spacing w:line="300" w:lineRule="exact"/>
              <w:jc w:val="center"/>
              <w:rPr>
                <w:rFonts w:ascii="宋体" w:hAnsi="宋体"/>
                <w:szCs w:val="21"/>
              </w:rPr>
            </w:pPr>
            <w:r>
              <w:rPr>
                <w:rFonts w:hint="eastAsia" w:ascii="宋体" w:hAnsi="宋体" w:eastAsia="宋体"/>
                <w:sz w:val="21"/>
                <w:szCs w:val="21"/>
              </w:rPr>
              <w:t>项目实施单位</w:t>
            </w:r>
          </w:p>
        </w:tc>
        <w:tc>
          <w:tcPr>
            <w:tcW w:w="2105" w:type="dxa"/>
            <w:gridSpan w:val="3"/>
            <w:vAlign w:val="center"/>
          </w:tcPr>
          <w:p>
            <w:pPr>
              <w:spacing w:line="300" w:lineRule="exact"/>
              <w:jc w:val="center"/>
              <w:rPr>
                <w:rFonts w:ascii="宋体" w:hAnsi="宋体"/>
                <w:szCs w:val="21"/>
              </w:rPr>
            </w:pPr>
            <w:r>
              <w:rPr>
                <w:rFonts w:hint="eastAsia" w:ascii="宋体" w:hAnsi="宋体"/>
                <w:szCs w:val="21"/>
              </w:rPr>
              <w:t>渝水区文广新旅局、图书馆、文化馆、各乡镇办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192" w:hRule="atLeast"/>
        </w:trPr>
        <w:tc>
          <w:tcPr>
            <w:tcW w:w="1858" w:type="dxa"/>
            <w:gridSpan w:val="3"/>
            <w:vAlign w:val="center"/>
          </w:tcPr>
          <w:p>
            <w:pPr>
              <w:spacing w:line="300" w:lineRule="exact"/>
              <w:jc w:val="center"/>
              <w:rPr>
                <w:rFonts w:ascii="宋体" w:hAnsi="宋体"/>
                <w:szCs w:val="21"/>
              </w:rPr>
            </w:pPr>
            <w:r>
              <w:rPr>
                <w:rFonts w:hint="eastAsia" w:ascii="宋体" w:hAnsi="宋体" w:eastAsia="宋体"/>
                <w:sz w:val="21"/>
                <w:szCs w:val="21"/>
              </w:rPr>
              <w:t>项目负责人</w:t>
            </w:r>
          </w:p>
        </w:tc>
        <w:tc>
          <w:tcPr>
            <w:tcW w:w="1476" w:type="dxa"/>
            <w:gridSpan w:val="3"/>
            <w:vAlign w:val="center"/>
          </w:tcPr>
          <w:p>
            <w:pPr>
              <w:spacing w:line="300" w:lineRule="exact"/>
              <w:jc w:val="center"/>
              <w:rPr>
                <w:rFonts w:ascii="宋体" w:hAnsi="宋体"/>
                <w:szCs w:val="21"/>
              </w:rPr>
            </w:pPr>
            <w:r>
              <w:rPr>
                <w:rFonts w:hint="eastAsia" w:ascii="宋体" w:hAnsi="宋体"/>
                <w:szCs w:val="21"/>
              </w:rPr>
              <w:t>袁林</w:t>
            </w:r>
          </w:p>
        </w:tc>
        <w:tc>
          <w:tcPr>
            <w:tcW w:w="3241" w:type="dxa"/>
            <w:gridSpan w:val="6"/>
            <w:vAlign w:val="center"/>
          </w:tcPr>
          <w:p>
            <w:pPr>
              <w:spacing w:line="300" w:lineRule="exact"/>
              <w:jc w:val="center"/>
              <w:rPr>
                <w:rFonts w:ascii="宋体" w:hAnsi="宋体"/>
                <w:szCs w:val="21"/>
              </w:rPr>
            </w:pPr>
            <w:r>
              <w:rPr>
                <w:rFonts w:hint="eastAsia" w:ascii="宋体" w:hAnsi="宋体" w:eastAsia="宋体"/>
                <w:sz w:val="21"/>
                <w:szCs w:val="21"/>
              </w:rPr>
              <w:t>联系电话</w:t>
            </w:r>
          </w:p>
        </w:tc>
        <w:tc>
          <w:tcPr>
            <w:tcW w:w="2105" w:type="dxa"/>
            <w:gridSpan w:val="3"/>
            <w:vAlign w:val="center"/>
          </w:tcPr>
          <w:p>
            <w:pPr>
              <w:spacing w:line="300" w:lineRule="exact"/>
              <w:jc w:val="center"/>
              <w:rPr>
                <w:rFonts w:ascii="宋体" w:hAnsi="宋体"/>
                <w:szCs w:val="21"/>
              </w:rPr>
            </w:pPr>
            <w:r>
              <w:rPr>
                <w:rFonts w:hint="eastAsia" w:ascii="宋体" w:hAnsi="宋体"/>
                <w:szCs w:val="21"/>
              </w:rPr>
              <w:t>13407908691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192" w:hRule="atLeast"/>
        </w:trPr>
        <w:tc>
          <w:tcPr>
            <w:tcW w:w="1858" w:type="dxa"/>
            <w:gridSpan w:val="3"/>
            <w:vAlign w:val="center"/>
          </w:tcPr>
          <w:p>
            <w:pPr>
              <w:spacing w:line="300" w:lineRule="exact"/>
              <w:jc w:val="center"/>
              <w:rPr>
                <w:rFonts w:ascii="宋体" w:hAnsi="宋体"/>
                <w:szCs w:val="21"/>
              </w:rPr>
            </w:pPr>
            <w:r>
              <w:rPr>
                <w:rFonts w:hint="eastAsia" w:ascii="宋体" w:hAnsi="宋体" w:eastAsia="宋体"/>
                <w:sz w:val="21"/>
                <w:szCs w:val="21"/>
              </w:rPr>
              <w:t>项目类型</w:t>
            </w:r>
          </w:p>
        </w:tc>
        <w:tc>
          <w:tcPr>
            <w:tcW w:w="6822" w:type="dxa"/>
            <w:gridSpan w:val="12"/>
            <w:vAlign w:val="center"/>
          </w:tcPr>
          <w:p>
            <w:pPr>
              <w:spacing w:line="300" w:lineRule="exact"/>
              <w:jc w:val="center"/>
              <w:rPr>
                <w:rFonts w:ascii="宋体" w:hAnsi="宋体"/>
                <w:szCs w:val="21"/>
              </w:rPr>
            </w:pPr>
            <w:r>
              <w:rPr>
                <w:rFonts w:hint="eastAsia" w:ascii="宋体" w:hAnsi="宋体" w:eastAsia="宋体"/>
                <w:sz w:val="21"/>
                <w:szCs w:val="21"/>
              </w:rPr>
              <w:t>经常性项目（ √  ）       一次性项目（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300" w:hRule="atLeast"/>
        </w:trPr>
        <w:tc>
          <w:tcPr>
            <w:tcW w:w="1858" w:type="dxa"/>
            <w:gridSpan w:val="3"/>
            <w:vAlign w:val="center"/>
          </w:tcPr>
          <w:p>
            <w:pPr>
              <w:spacing w:line="240" w:lineRule="exact"/>
              <w:jc w:val="center"/>
              <w:rPr>
                <w:rFonts w:ascii="宋体" w:hAnsi="宋体"/>
                <w:szCs w:val="21"/>
              </w:rPr>
            </w:pPr>
            <w:r>
              <w:rPr>
                <w:rFonts w:hint="eastAsia" w:ascii="宋体" w:hAnsi="宋体" w:eastAsia="宋体"/>
                <w:sz w:val="21"/>
                <w:szCs w:val="21"/>
              </w:rPr>
              <w:t>计划投资额</w:t>
            </w:r>
          </w:p>
          <w:p>
            <w:pPr>
              <w:spacing w:line="240" w:lineRule="exact"/>
              <w:jc w:val="center"/>
              <w:rPr>
                <w:rFonts w:ascii="宋体" w:hAnsi="宋体"/>
                <w:szCs w:val="21"/>
              </w:rPr>
            </w:pPr>
            <w:r>
              <w:rPr>
                <w:rFonts w:hint="eastAsia" w:ascii="宋体" w:hAnsi="宋体" w:eastAsia="宋体"/>
                <w:sz w:val="21"/>
                <w:szCs w:val="21"/>
              </w:rPr>
              <w:t>（万元）</w:t>
            </w:r>
          </w:p>
        </w:tc>
        <w:tc>
          <w:tcPr>
            <w:tcW w:w="1122" w:type="dxa"/>
            <w:gridSpan w:val="2"/>
            <w:vAlign w:val="center"/>
          </w:tcPr>
          <w:p>
            <w:pPr>
              <w:spacing w:line="240" w:lineRule="exact"/>
              <w:jc w:val="center"/>
              <w:rPr>
                <w:rFonts w:hint="default" w:ascii="宋体" w:hAnsi="宋体" w:eastAsia="微软雅黑"/>
                <w:szCs w:val="21"/>
                <w:lang w:val="en-US" w:eastAsia="zh-CN"/>
              </w:rPr>
            </w:pPr>
            <w:r>
              <w:rPr>
                <w:rFonts w:hint="eastAsia" w:ascii="宋体" w:hAnsi="宋体"/>
                <w:szCs w:val="21"/>
                <w:lang w:val="en-US" w:eastAsia="zh-CN"/>
              </w:rPr>
              <w:t>391.77</w:t>
            </w:r>
          </w:p>
        </w:tc>
        <w:tc>
          <w:tcPr>
            <w:tcW w:w="1559" w:type="dxa"/>
            <w:gridSpan w:val="4"/>
            <w:vAlign w:val="center"/>
          </w:tcPr>
          <w:p>
            <w:pPr>
              <w:spacing w:line="240" w:lineRule="exact"/>
              <w:jc w:val="center"/>
              <w:rPr>
                <w:rFonts w:ascii="宋体" w:hAnsi="宋体"/>
                <w:szCs w:val="21"/>
              </w:rPr>
            </w:pPr>
            <w:r>
              <w:rPr>
                <w:rFonts w:hint="eastAsia" w:ascii="宋体" w:hAnsi="宋体" w:eastAsia="宋体"/>
                <w:sz w:val="21"/>
                <w:szCs w:val="21"/>
              </w:rPr>
              <w:t>实际到位资金（万元）</w:t>
            </w:r>
          </w:p>
        </w:tc>
        <w:tc>
          <w:tcPr>
            <w:tcW w:w="1034" w:type="dxa"/>
            <w:vAlign w:val="center"/>
          </w:tcPr>
          <w:p>
            <w:pPr>
              <w:spacing w:line="240" w:lineRule="exact"/>
              <w:jc w:val="center"/>
              <w:rPr>
                <w:rFonts w:hint="default" w:ascii="宋体" w:hAnsi="宋体" w:eastAsia="微软雅黑"/>
                <w:szCs w:val="21"/>
                <w:lang w:val="en-US" w:eastAsia="zh-CN"/>
              </w:rPr>
            </w:pPr>
            <w:r>
              <w:rPr>
                <w:rFonts w:hint="eastAsia" w:ascii="宋体" w:hAnsi="宋体"/>
                <w:szCs w:val="21"/>
                <w:lang w:val="en-US" w:eastAsia="zh-CN"/>
              </w:rPr>
              <w:t>391.77</w:t>
            </w:r>
          </w:p>
        </w:tc>
        <w:tc>
          <w:tcPr>
            <w:tcW w:w="1383" w:type="dxa"/>
            <w:gridSpan w:val="4"/>
            <w:vAlign w:val="center"/>
          </w:tcPr>
          <w:p>
            <w:pPr>
              <w:spacing w:line="240" w:lineRule="exact"/>
              <w:jc w:val="center"/>
              <w:rPr>
                <w:rFonts w:ascii="宋体" w:hAnsi="宋体"/>
                <w:szCs w:val="21"/>
              </w:rPr>
            </w:pPr>
            <w:r>
              <w:rPr>
                <w:rFonts w:hint="eastAsia" w:ascii="宋体" w:hAnsi="宋体" w:eastAsia="宋体"/>
                <w:sz w:val="21"/>
                <w:szCs w:val="21"/>
              </w:rPr>
              <w:t>实际使用情况（万元）</w:t>
            </w:r>
          </w:p>
        </w:tc>
        <w:tc>
          <w:tcPr>
            <w:tcW w:w="1724" w:type="dxa"/>
            <w:vAlign w:val="center"/>
          </w:tcPr>
          <w:p>
            <w:pPr>
              <w:spacing w:line="240" w:lineRule="exact"/>
              <w:jc w:val="center"/>
              <w:rPr>
                <w:rFonts w:hint="default" w:ascii="宋体" w:hAnsi="宋体" w:eastAsia="微软雅黑"/>
                <w:szCs w:val="21"/>
                <w:lang w:val="en-US" w:eastAsia="zh-CN"/>
              </w:rPr>
            </w:pPr>
            <w:r>
              <w:rPr>
                <w:rFonts w:hint="eastAsia" w:ascii="宋体" w:hAnsi="宋体"/>
                <w:szCs w:val="21"/>
                <w:lang w:val="en-US" w:eastAsia="zh-CN"/>
              </w:rPr>
              <w:t>391.77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192" w:hRule="atLeast"/>
        </w:trPr>
        <w:tc>
          <w:tcPr>
            <w:tcW w:w="1858" w:type="dxa"/>
            <w:gridSpan w:val="3"/>
            <w:vAlign w:val="center"/>
          </w:tcPr>
          <w:p>
            <w:pPr>
              <w:spacing w:line="300" w:lineRule="exact"/>
              <w:jc w:val="center"/>
              <w:rPr>
                <w:rFonts w:ascii="宋体" w:hAnsi="宋体"/>
                <w:szCs w:val="21"/>
              </w:rPr>
            </w:pPr>
            <w:r>
              <w:rPr>
                <w:rFonts w:hint="eastAsia" w:ascii="宋体" w:hAnsi="宋体" w:eastAsia="宋体"/>
                <w:sz w:val="21"/>
                <w:szCs w:val="21"/>
              </w:rPr>
              <w:t>其中：中央财政</w:t>
            </w:r>
          </w:p>
        </w:tc>
        <w:tc>
          <w:tcPr>
            <w:tcW w:w="1122" w:type="dxa"/>
            <w:gridSpan w:val="2"/>
            <w:vAlign w:val="center"/>
          </w:tcPr>
          <w:p>
            <w:pPr>
              <w:spacing w:line="300" w:lineRule="exact"/>
              <w:jc w:val="center"/>
              <w:rPr>
                <w:rFonts w:hint="default" w:ascii="宋体" w:hAnsi="宋体" w:eastAsia="微软雅黑"/>
                <w:szCs w:val="21"/>
                <w:lang w:val="en-US" w:eastAsia="zh-CN"/>
              </w:rPr>
            </w:pPr>
            <w:r>
              <w:rPr>
                <w:rFonts w:hint="eastAsia" w:ascii="宋体" w:hAnsi="宋体"/>
                <w:szCs w:val="21"/>
                <w:lang w:val="en-US" w:eastAsia="zh-CN"/>
              </w:rPr>
              <w:t>343.92</w:t>
            </w:r>
          </w:p>
        </w:tc>
        <w:tc>
          <w:tcPr>
            <w:tcW w:w="1559" w:type="dxa"/>
            <w:gridSpan w:val="4"/>
            <w:vAlign w:val="center"/>
          </w:tcPr>
          <w:p>
            <w:pPr>
              <w:spacing w:line="300" w:lineRule="exact"/>
              <w:jc w:val="center"/>
              <w:rPr>
                <w:rFonts w:ascii="宋体" w:hAnsi="宋体"/>
                <w:szCs w:val="21"/>
              </w:rPr>
            </w:pPr>
            <w:r>
              <w:rPr>
                <w:rFonts w:hint="eastAsia" w:ascii="宋体" w:hAnsi="宋体" w:eastAsia="宋体"/>
                <w:sz w:val="21"/>
                <w:szCs w:val="21"/>
              </w:rPr>
              <w:t>其中：中央财政</w:t>
            </w:r>
          </w:p>
        </w:tc>
        <w:tc>
          <w:tcPr>
            <w:tcW w:w="1034" w:type="dxa"/>
            <w:vAlign w:val="center"/>
          </w:tcPr>
          <w:p>
            <w:pPr>
              <w:spacing w:line="300" w:lineRule="exact"/>
              <w:jc w:val="center"/>
              <w:rPr>
                <w:rFonts w:hint="default" w:ascii="宋体" w:hAnsi="宋体" w:eastAsia="微软雅黑"/>
                <w:szCs w:val="21"/>
                <w:lang w:val="en-US" w:eastAsia="zh-CN"/>
              </w:rPr>
            </w:pPr>
            <w:r>
              <w:rPr>
                <w:rFonts w:hint="eastAsia" w:ascii="宋体" w:hAnsi="宋体"/>
                <w:szCs w:val="21"/>
                <w:lang w:val="en-US" w:eastAsia="zh-CN"/>
              </w:rPr>
              <w:t>343.92</w:t>
            </w:r>
          </w:p>
        </w:tc>
        <w:tc>
          <w:tcPr>
            <w:tcW w:w="1383" w:type="dxa"/>
            <w:gridSpan w:val="4"/>
            <w:vAlign w:val="center"/>
          </w:tcPr>
          <w:p>
            <w:pPr>
              <w:spacing w:line="300" w:lineRule="exact"/>
              <w:jc w:val="center"/>
              <w:rPr>
                <w:rFonts w:ascii="宋体" w:hAnsi="宋体"/>
                <w:szCs w:val="21"/>
              </w:rPr>
            </w:pPr>
          </w:p>
        </w:tc>
        <w:tc>
          <w:tcPr>
            <w:tcW w:w="1724" w:type="dxa"/>
            <w:vAlign w:val="center"/>
          </w:tcPr>
          <w:p>
            <w:pPr>
              <w:spacing w:line="3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192" w:hRule="atLeast"/>
        </w:trPr>
        <w:tc>
          <w:tcPr>
            <w:tcW w:w="1858" w:type="dxa"/>
            <w:gridSpan w:val="3"/>
            <w:vAlign w:val="center"/>
          </w:tcPr>
          <w:p>
            <w:pPr>
              <w:spacing w:line="300" w:lineRule="exact"/>
              <w:jc w:val="center"/>
              <w:rPr>
                <w:rFonts w:ascii="宋体" w:hAnsi="宋体"/>
                <w:szCs w:val="21"/>
              </w:rPr>
            </w:pPr>
            <w:r>
              <w:rPr>
                <w:rFonts w:hint="eastAsia" w:ascii="宋体" w:hAnsi="宋体" w:eastAsia="宋体"/>
                <w:sz w:val="21"/>
                <w:szCs w:val="21"/>
              </w:rPr>
              <w:t>省财政</w:t>
            </w:r>
          </w:p>
        </w:tc>
        <w:tc>
          <w:tcPr>
            <w:tcW w:w="1122" w:type="dxa"/>
            <w:gridSpan w:val="2"/>
            <w:vAlign w:val="center"/>
          </w:tcPr>
          <w:p>
            <w:pPr>
              <w:spacing w:line="300" w:lineRule="exact"/>
              <w:jc w:val="center"/>
              <w:rPr>
                <w:rFonts w:hint="default" w:ascii="宋体" w:hAnsi="宋体" w:eastAsia="微软雅黑"/>
                <w:szCs w:val="21"/>
                <w:lang w:val="en-US" w:eastAsia="zh-CN"/>
              </w:rPr>
            </w:pPr>
            <w:r>
              <w:rPr>
                <w:rFonts w:hint="eastAsia" w:ascii="宋体" w:hAnsi="宋体"/>
                <w:szCs w:val="21"/>
                <w:lang w:val="en-US" w:eastAsia="zh-CN"/>
              </w:rPr>
              <w:t>47.85</w:t>
            </w:r>
          </w:p>
        </w:tc>
        <w:tc>
          <w:tcPr>
            <w:tcW w:w="1559" w:type="dxa"/>
            <w:gridSpan w:val="4"/>
            <w:vAlign w:val="center"/>
          </w:tcPr>
          <w:p>
            <w:pPr>
              <w:spacing w:line="300" w:lineRule="exact"/>
              <w:jc w:val="center"/>
              <w:rPr>
                <w:rFonts w:ascii="宋体" w:hAnsi="宋体"/>
                <w:szCs w:val="21"/>
              </w:rPr>
            </w:pPr>
            <w:r>
              <w:rPr>
                <w:rFonts w:hint="eastAsia" w:ascii="宋体" w:hAnsi="宋体" w:eastAsia="宋体"/>
                <w:sz w:val="21"/>
                <w:szCs w:val="21"/>
              </w:rPr>
              <w:t>省财政</w:t>
            </w:r>
          </w:p>
        </w:tc>
        <w:tc>
          <w:tcPr>
            <w:tcW w:w="1034" w:type="dxa"/>
            <w:vAlign w:val="center"/>
          </w:tcPr>
          <w:p>
            <w:pPr>
              <w:spacing w:line="300" w:lineRule="exact"/>
              <w:jc w:val="center"/>
              <w:rPr>
                <w:rFonts w:hint="default" w:ascii="宋体" w:hAnsi="宋体" w:eastAsia="微软雅黑"/>
                <w:szCs w:val="21"/>
                <w:lang w:val="en-US" w:eastAsia="zh-CN"/>
              </w:rPr>
            </w:pPr>
            <w:r>
              <w:rPr>
                <w:rFonts w:hint="eastAsia" w:ascii="宋体" w:hAnsi="宋体"/>
                <w:szCs w:val="21"/>
                <w:lang w:val="en-US" w:eastAsia="zh-CN"/>
              </w:rPr>
              <w:t>47.85</w:t>
            </w:r>
          </w:p>
        </w:tc>
        <w:tc>
          <w:tcPr>
            <w:tcW w:w="1383" w:type="dxa"/>
            <w:gridSpan w:val="4"/>
            <w:vAlign w:val="center"/>
          </w:tcPr>
          <w:p>
            <w:pPr>
              <w:spacing w:line="300" w:lineRule="exact"/>
              <w:jc w:val="center"/>
              <w:rPr>
                <w:rFonts w:ascii="宋体" w:hAnsi="宋体"/>
                <w:szCs w:val="21"/>
              </w:rPr>
            </w:pPr>
          </w:p>
        </w:tc>
        <w:tc>
          <w:tcPr>
            <w:tcW w:w="1724" w:type="dxa"/>
            <w:vAlign w:val="center"/>
          </w:tcPr>
          <w:p>
            <w:pPr>
              <w:spacing w:line="3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192" w:hRule="atLeast"/>
        </w:trPr>
        <w:tc>
          <w:tcPr>
            <w:tcW w:w="1858" w:type="dxa"/>
            <w:gridSpan w:val="3"/>
            <w:vAlign w:val="center"/>
          </w:tcPr>
          <w:p>
            <w:pPr>
              <w:spacing w:line="300" w:lineRule="exact"/>
              <w:jc w:val="center"/>
              <w:rPr>
                <w:rFonts w:ascii="宋体" w:hAnsi="宋体"/>
                <w:szCs w:val="21"/>
              </w:rPr>
            </w:pPr>
            <w:r>
              <w:rPr>
                <w:rFonts w:hint="eastAsia" w:ascii="宋体" w:hAnsi="宋体" w:eastAsia="宋体"/>
                <w:sz w:val="21"/>
                <w:szCs w:val="21"/>
              </w:rPr>
              <w:t>市县财政</w:t>
            </w:r>
          </w:p>
        </w:tc>
        <w:tc>
          <w:tcPr>
            <w:tcW w:w="1122" w:type="dxa"/>
            <w:gridSpan w:val="2"/>
            <w:vAlign w:val="center"/>
          </w:tcPr>
          <w:p>
            <w:pPr>
              <w:spacing w:line="300" w:lineRule="exact"/>
              <w:jc w:val="center"/>
              <w:rPr>
                <w:rFonts w:ascii="宋体" w:hAnsi="宋体"/>
                <w:szCs w:val="21"/>
              </w:rPr>
            </w:pPr>
          </w:p>
        </w:tc>
        <w:tc>
          <w:tcPr>
            <w:tcW w:w="1559" w:type="dxa"/>
            <w:gridSpan w:val="4"/>
            <w:vAlign w:val="center"/>
          </w:tcPr>
          <w:p>
            <w:pPr>
              <w:spacing w:line="300" w:lineRule="exact"/>
              <w:jc w:val="center"/>
              <w:rPr>
                <w:rFonts w:ascii="宋体" w:hAnsi="宋体"/>
                <w:szCs w:val="21"/>
              </w:rPr>
            </w:pPr>
            <w:r>
              <w:rPr>
                <w:rFonts w:hint="eastAsia" w:ascii="宋体" w:hAnsi="宋体" w:eastAsia="宋体"/>
                <w:sz w:val="21"/>
                <w:szCs w:val="21"/>
              </w:rPr>
              <w:t>市县财政</w:t>
            </w:r>
          </w:p>
        </w:tc>
        <w:tc>
          <w:tcPr>
            <w:tcW w:w="1034" w:type="dxa"/>
            <w:vAlign w:val="center"/>
          </w:tcPr>
          <w:p>
            <w:pPr>
              <w:spacing w:line="300" w:lineRule="exact"/>
              <w:jc w:val="center"/>
              <w:rPr>
                <w:rFonts w:ascii="宋体" w:hAnsi="宋体"/>
                <w:szCs w:val="21"/>
              </w:rPr>
            </w:pPr>
          </w:p>
        </w:tc>
        <w:tc>
          <w:tcPr>
            <w:tcW w:w="1383" w:type="dxa"/>
            <w:gridSpan w:val="4"/>
            <w:vAlign w:val="center"/>
          </w:tcPr>
          <w:p>
            <w:pPr>
              <w:spacing w:line="300" w:lineRule="exact"/>
              <w:jc w:val="center"/>
              <w:rPr>
                <w:rFonts w:ascii="宋体" w:hAnsi="宋体"/>
                <w:szCs w:val="21"/>
              </w:rPr>
            </w:pPr>
          </w:p>
        </w:tc>
        <w:tc>
          <w:tcPr>
            <w:tcW w:w="1724" w:type="dxa"/>
            <w:vAlign w:val="center"/>
          </w:tcPr>
          <w:p>
            <w:pPr>
              <w:spacing w:line="3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192" w:hRule="atLeast"/>
        </w:trPr>
        <w:tc>
          <w:tcPr>
            <w:tcW w:w="1858" w:type="dxa"/>
            <w:gridSpan w:val="3"/>
            <w:vAlign w:val="center"/>
          </w:tcPr>
          <w:p>
            <w:pPr>
              <w:spacing w:line="300" w:lineRule="exact"/>
              <w:jc w:val="center"/>
              <w:rPr>
                <w:rFonts w:ascii="宋体" w:hAnsi="宋体"/>
                <w:szCs w:val="21"/>
              </w:rPr>
            </w:pPr>
            <w:r>
              <w:rPr>
                <w:rFonts w:hint="eastAsia" w:ascii="宋体" w:hAnsi="宋体" w:eastAsia="宋体"/>
                <w:sz w:val="21"/>
                <w:szCs w:val="21"/>
              </w:rPr>
              <w:t>其他</w:t>
            </w:r>
          </w:p>
        </w:tc>
        <w:tc>
          <w:tcPr>
            <w:tcW w:w="1122" w:type="dxa"/>
            <w:gridSpan w:val="2"/>
            <w:vAlign w:val="center"/>
          </w:tcPr>
          <w:p>
            <w:pPr>
              <w:spacing w:line="300" w:lineRule="exact"/>
              <w:jc w:val="center"/>
              <w:rPr>
                <w:rFonts w:ascii="宋体" w:hAnsi="宋体"/>
                <w:szCs w:val="21"/>
              </w:rPr>
            </w:pPr>
          </w:p>
        </w:tc>
        <w:tc>
          <w:tcPr>
            <w:tcW w:w="1559" w:type="dxa"/>
            <w:gridSpan w:val="4"/>
            <w:vAlign w:val="center"/>
          </w:tcPr>
          <w:p>
            <w:pPr>
              <w:spacing w:line="300" w:lineRule="exact"/>
              <w:jc w:val="center"/>
              <w:rPr>
                <w:rFonts w:ascii="宋体" w:hAnsi="宋体"/>
                <w:szCs w:val="21"/>
              </w:rPr>
            </w:pPr>
            <w:r>
              <w:rPr>
                <w:rFonts w:hint="eastAsia" w:ascii="宋体" w:hAnsi="宋体" w:eastAsia="宋体"/>
                <w:sz w:val="21"/>
                <w:szCs w:val="21"/>
              </w:rPr>
              <w:t>其他</w:t>
            </w:r>
          </w:p>
        </w:tc>
        <w:tc>
          <w:tcPr>
            <w:tcW w:w="1034" w:type="dxa"/>
            <w:vAlign w:val="center"/>
          </w:tcPr>
          <w:p>
            <w:pPr>
              <w:spacing w:line="300" w:lineRule="exact"/>
              <w:jc w:val="center"/>
              <w:rPr>
                <w:rFonts w:ascii="宋体" w:hAnsi="宋体"/>
                <w:szCs w:val="21"/>
              </w:rPr>
            </w:pPr>
          </w:p>
        </w:tc>
        <w:tc>
          <w:tcPr>
            <w:tcW w:w="1383" w:type="dxa"/>
            <w:gridSpan w:val="4"/>
            <w:vAlign w:val="center"/>
          </w:tcPr>
          <w:p>
            <w:pPr>
              <w:spacing w:line="300" w:lineRule="exact"/>
              <w:jc w:val="center"/>
              <w:rPr>
                <w:rFonts w:ascii="宋体" w:hAnsi="宋体"/>
                <w:szCs w:val="21"/>
              </w:rPr>
            </w:pPr>
          </w:p>
        </w:tc>
        <w:tc>
          <w:tcPr>
            <w:tcW w:w="1724" w:type="dxa"/>
            <w:vAlign w:val="center"/>
          </w:tcPr>
          <w:p>
            <w:pPr>
              <w:spacing w:line="3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192" w:hRule="atLeast"/>
        </w:trPr>
        <w:tc>
          <w:tcPr>
            <w:tcW w:w="8680" w:type="dxa"/>
            <w:gridSpan w:val="15"/>
            <w:vAlign w:val="center"/>
          </w:tcPr>
          <w:p>
            <w:pPr>
              <w:spacing w:line="300" w:lineRule="exact"/>
              <w:rPr>
                <w:rFonts w:ascii="宋体" w:hAnsi="宋体"/>
                <w:szCs w:val="21"/>
              </w:rPr>
            </w:pPr>
            <w:r>
              <w:rPr>
                <w:rFonts w:hint="eastAsia" w:ascii="宋体" w:hAnsi="宋体" w:eastAsia="宋体"/>
                <w:b/>
                <w:bCs/>
                <w:sz w:val="21"/>
                <w:szCs w:val="21"/>
              </w:rPr>
              <w:t>二、</w:t>
            </w:r>
            <w:r>
              <w:rPr>
                <w:rFonts w:hint="eastAsia" w:ascii="宋体" w:hAnsi="宋体" w:eastAsia="宋体"/>
                <w:b/>
                <w:color w:val="000000"/>
                <w:sz w:val="21"/>
                <w:szCs w:val="21"/>
              </w:rPr>
              <w:t>绩效评价指标评分（参考）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2" w:hRule="atLeast"/>
        </w:trPr>
        <w:tc>
          <w:tcPr>
            <w:tcW w:w="1361" w:type="dxa"/>
            <w:gridSpan w:val="2"/>
            <w:tcBorders>
              <w:top w:val="single" w:color="000000" w:sz="4" w:space="0"/>
              <w:left w:val="single" w:color="000000" w:sz="4" w:space="0"/>
              <w:right w:val="single" w:color="000000" w:sz="4" w:space="0"/>
            </w:tcBorders>
            <w:vAlign w:val="center"/>
          </w:tcPr>
          <w:p>
            <w:pPr>
              <w:autoSpaceDN w:val="0"/>
              <w:spacing w:line="300" w:lineRule="exact"/>
              <w:jc w:val="center"/>
              <w:textAlignment w:val="center"/>
              <w:rPr>
                <w:rFonts w:ascii="宋体" w:hAnsi="宋体"/>
                <w:bCs/>
                <w:color w:val="000000"/>
                <w:szCs w:val="21"/>
              </w:rPr>
            </w:pPr>
            <w:r>
              <w:rPr>
                <w:rFonts w:hint="eastAsia" w:ascii="宋体" w:hAnsi="宋体" w:eastAsia="宋体"/>
                <w:bCs/>
                <w:color w:val="000000"/>
                <w:sz w:val="21"/>
                <w:szCs w:val="21"/>
              </w:rPr>
              <w:t>一级指标</w:t>
            </w:r>
          </w:p>
        </w:tc>
        <w:tc>
          <w:tcPr>
            <w:tcW w:w="916" w:type="dxa"/>
            <w:gridSpan w:val="2"/>
            <w:tcBorders>
              <w:top w:val="single" w:color="000000" w:sz="4" w:space="0"/>
              <w:left w:val="single" w:color="000000" w:sz="4" w:space="0"/>
              <w:right w:val="single" w:color="000000" w:sz="4" w:space="0"/>
            </w:tcBorders>
            <w:vAlign w:val="center"/>
          </w:tcPr>
          <w:p>
            <w:pPr>
              <w:autoSpaceDN w:val="0"/>
              <w:spacing w:line="300" w:lineRule="exact"/>
              <w:jc w:val="center"/>
              <w:textAlignment w:val="center"/>
              <w:rPr>
                <w:rFonts w:ascii="宋体" w:hAnsi="宋体"/>
                <w:bCs/>
                <w:color w:val="000000"/>
                <w:szCs w:val="21"/>
              </w:rPr>
            </w:pPr>
            <w:r>
              <w:rPr>
                <w:rFonts w:hint="eastAsia" w:ascii="宋体" w:hAnsi="宋体" w:eastAsia="宋体"/>
                <w:bCs/>
                <w:color w:val="000000"/>
                <w:sz w:val="21"/>
                <w:szCs w:val="21"/>
              </w:rPr>
              <w:t>分值</w:t>
            </w:r>
          </w:p>
        </w:tc>
        <w:tc>
          <w:tcPr>
            <w:tcW w:w="1272" w:type="dxa"/>
            <w:gridSpan w:val="3"/>
            <w:tcBorders>
              <w:top w:val="single" w:color="000000" w:sz="4" w:space="0"/>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ascii="宋体" w:hAnsi="宋体"/>
                <w:bCs/>
                <w:color w:val="000000"/>
                <w:szCs w:val="21"/>
              </w:rPr>
            </w:pPr>
            <w:r>
              <w:rPr>
                <w:rFonts w:hint="eastAsia" w:ascii="宋体" w:hAnsi="宋体" w:eastAsia="宋体"/>
                <w:bCs/>
                <w:color w:val="000000"/>
                <w:sz w:val="21"/>
                <w:szCs w:val="21"/>
              </w:rPr>
              <w:t>二级指标</w:t>
            </w:r>
          </w:p>
        </w:tc>
        <w:tc>
          <w:tcPr>
            <w:tcW w:w="759" w:type="dxa"/>
            <w:tcBorders>
              <w:top w:val="single" w:color="000000" w:sz="4" w:space="0"/>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ascii="宋体" w:hAnsi="宋体"/>
                <w:bCs/>
                <w:color w:val="000000"/>
                <w:szCs w:val="21"/>
              </w:rPr>
            </w:pPr>
            <w:r>
              <w:rPr>
                <w:rFonts w:hint="eastAsia" w:ascii="宋体" w:hAnsi="宋体" w:eastAsia="宋体"/>
                <w:bCs/>
                <w:color w:val="000000"/>
                <w:sz w:val="21"/>
                <w:szCs w:val="21"/>
              </w:rPr>
              <w:t>分值</w:t>
            </w:r>
          </w:p>
        </w:tc>
        <w:tc>
          <w:tcPr>
            <w:tcW w:w="1844" w:type="dxa"/>
            <w:gridSpan w:val="3"/>
            <w:tcBorders>
              <w:top w:val="single" w:color="000000" w:sz="4" w:space="0"/>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ascii="宋体" w:hAnsi="宋体"/>
                <w:bCs/>
                <w:color w:val="000000"/>
                <w:szCs w:val="21"/>
              </w:rPr>
            </w:pPr>
            <w:r>
              <w:rPr>
                <w:rFonts w:hint="eastAsia" w:ascii="宋体" w:hAnsi="宋体" w:eastAsia="宋体"/>
                <w:bCs/>
                <w:color w:val="000000"/>
                <w:sz w:val="21"/>
                <w:szCs w:val="21"/>
              </w:rPr>
              <w:t>三级指标</w:t>
            </w:r>
          </w:p>
        </w:tc>
        <w:tc>
          <w:tcPr>
            <w:tcW w:w="781" w:type="dxa"/>
            <w:gridSpan w:val="2"/>
            <w:tcBorders>
              <w:top w:val="single" w:color="000000" w:sz="4" w:space="0"/>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ascii="宋体" w:hAnsi="宋体"/>
                <w:bCs/>
                <w:color w:val="000000"/>
                <w:szCs w:val="21"/>
              </w:rPr>
            </w:pPr>
            <w:r>
              <w:rPr>
                <w:rFonts w:hint="eastAsia" w:ascii="宋体" w:hAnsi="宋体" w:eastAsia="宋体"/>
                <w:bCs/>
                <w:color w:val="000000"/>
                <w:sz w:val="21"/>
                <w:szCs w:val="21"/>
              </w:rPr>
              <w:t>分值</w:t>
            </w:r>
          </w:p>
        </w:tc>
        <w:tc>
          <w:tcPr>
            <w:tcW w:w="1747" w:type="dxa"/>
            <w:gridSpan w:val="2"/>
            <w:tcBorders>
              <w:top w:val="single" w:color="000000" w:sz="4" w:space="0"/>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ascii="宋体" w:hAnsi="宋体"/>
                <w:bCs/>
                <w:color w:val="000000"/>
                <w:szCs w:val="21"/>
              </w:rPr>
            </w:pPr>
            <w:r>
              <w:rPr>
                <w:rFonts w:hint="eastAsia" w:ascii="宋体" w:hAnsi="宋体" w:eastAsia="宋体"/>
                <w:bCs/>
                <w:color w:val="000000"/>
                <w:sz w:val="21"/>
                <w:szCs w:val="21"/>
              </w:rPr>
              <w:t>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2" w:hRule="atLeast"/>
        </w:trPr>
        <w:tc>
          <w:tcPr>
            <w:tcW w:w="1361" w:type="dxa"/>
            <w:gridSpan w:val="2"/>
            <w:vMerge w:val="restart"/>
            <w:tcBorders>
              <w:top w:val="single" w:color="000000" w:sz="4" w:space="0"/>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ascii="宋体" w:hAnsi="宋体"/>
                <w:color w:val="000000"/>
                <w:szCs w:val="21"/>
              </w:rPr>
            </w:pPr>
            <w:r>
              <w:rPr>
                <w:rFonts w:hint="eastAsia" w:ascii="宋体" w:hAnsi="宋体" w:eastAsia="宋体"/>
                <w:color w:val="000000"/>
                <w:sz w:val="21"/>
                <w:szCs w:val="21"/>
              </w:rPr>
              <w:t>决策</w:t>
            </w:r>
          </w:p>
        </w:tc>
        <w:tc>
          <w:tcPr>
            <w:tcW w:w="916" w:type="dxa"/>
            <w:gridSpan w:val="2"/>
            <w:vMerge w:val="restart"/>
            <w:tcBorders>
              <w:top w:val="single" w:color="000000" w:sz="4" w:space="0"/>
              <w:left w:val="single" w:color="000000" w:sz="4" w:space="0"/>
              <w:right w:val="single" w:color="000000" w:sz="4" w:space="0"/>
            </w:tcBorders>
            <w:vAlign w:val="center"/>
          </w:tcPr>
          <w:p>
            <w:pPr>
              <w:autoSpaceDN w:val="0"/>
              <w:spacing w:line="300" w:lineRule="exact"/>
              <w:jc w:val="center"/>
              <w:textAlignment w:val="center"/>
              <w:rPr>
                <w:rFonts w:ascii="宋体" w:hAnsi="宋体"/>
                <w:color w:val="000000"/>
                <w:szCs w:val="21"/>
              </w:rPr>
            </w:pPr>
            <w:r>
              <w:rPr>
                <w:rFonts w:hint="eastAsia" w:ascii="宋体" w:hAnsi="宋体" w:eastAsia="宋体"/>
                <w:color w:val="000000"/>
                <w:sz w:val="21"/>
                <w:szCs w:val="21"/>
              </w:rPr>
              <w:t>40</w:t>
            </w:r>
          </w:p>
        </w:tc>
        <w:tc>
          <w:tcPr>
            <w:tcW w:w="1272" w:type="dxa"/>
            <w:gridSpan w:val="3"/>
            <w:vMerge w:val="restart"/>
            <w:tcBorders>
              <w:top w:val="single" w:color="000000" w:sz="4" w:space="0"/>
              <w:left w:val="single" w:color="000000" w:sz="4" w:space="0"/>
              <w:right w:val="single" w:color="000000" w:sz="4" w:space="0"/>
            </w:tcBorders>
            <w:vAlign w:val="center"/>
          </w:tcPr>
          <w:p>
            <w:pPr>
              <w:autoSpaceDN w:val="0"/>
              <w:spacing w:line="300" w:lineRule="exact"/>
              <w:jc w:val="center"/>
              <w:textAlignment w:val="center"/>
              <w:rPr>
                <w:rFonts w:ascii="宋体" w:hAnsi="宋体"/>
                <w:color w:val="000000"/>
                <w:szCs w:val="21"/>
              </w:rPr>
            </w:pPr>
            <w:r>
              <w:rPr>
                <w:rFonts w:hint="eastAsia" w:ascii="宋体" w:hAnsi="宋体" w:eastAsia="宋体"/>
                <w:color w:val="000000"/>
                <w:sz w:val="21"/>
                <w:szCs w:val="21"/>
              </w:rPr>
              <w:t>项目立项</w:t>
            </w:r>
          </w:p>
        </w:tc>
        <w:tc>
          <w:tcPr>
            <w:tcW w:w="759" w:type="dxa"/>
            <w:vMerge w:val="restart"/>
            <w:tcBorders>
              <w:top w:val="single" w:color="000000" w:sz="4" w:space="0"/>
              <w:left w:val="single" w:color="000000" w:sz="4" w:space="0"/>
              <w:right w:val="single" w:color="000000" w:sz="4" w:space="0"/>
            </w:tcBorders>
            <w:vAlign w:val="center"/>
          </w:tcPr>
          <w:p>
            <w:pPr>
              <w:autoSpaceDN w:val="0"/>
              <w:spacing w:line="300" w:lineRule="exact"/>
              <w:jc w:val="center"/>
              <w:textAlignment w:val="center"/>
              <w:rPr>
                <w:rFonts w:hint="eastAsia" w:ascii="宋体" w:hAnsi="宋体" w:eastAsia="微软雅黑"/>
                <w:color w:val="000000"/>
                <w:szCs w:val="21"/>
                <w:lang w:val="en-US" w:eastAsia="zh-CN"/>
              </w:rPr>
            </w:pPr>
            <w:r>
              <w:rPr>
                <w:rFonts w:hint="eastAsia" w:ascii="宋体" w:hAnsi="宋体"/>
                <w:color w:val="000000"/>
                <w:szCs w:val="21"/>
                <w:lang w:val="en-US" w:eastAsia="zh-CN"/>
              </w:rPr>
              <w:t>4</w:t>
            </w:r>
          </w:p>
        </w:tc>
        <w:tc>
          <w:tcPr>
            <w:tcW w:w="1844" w:type="dxa"/>
            <w:gridSpan w:val="3"/>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ascii="宋体" w:hAnsi="宋体" w:cs="宋体"/>
                <w:color w:val="000000"/>
                <w:szCs w:val="21"/>
              </w:rPr>
            </w:pPr>
            <w:r>
              <w:rPr>
                <w:rFonts w:hint="eastAsia" w:ascii="宋体" w:hAnsi="宋体" w:eastAsia="宋体" w:cs="宋体"/>
                <w:color w:val="000000"/>
                <w:sz w:val="21"/>
                <w:szCs w:val="21"/>
              </w:rPr>
              <w:t>立项依据充分性</w:t>
            </w:r>
          </w:p>
        </w:tc>
        <w:tc>
          <w:tcPr>
            <w:tcW w:w="781" w:type="dxa"/>
            <w:gridSpan w:val="2"/>
            <w:tcBorders>
              <w:top w:val="single" w:color="000000" w:sz="4" w:space="0"/>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hint="default" w:ascii="宋体" w:hAnsi="宋体" w:eastAsia="微软雅黑"/>
                <w:color w:val="000000"/>
                <w:szCs w:val="21"/>
                <w:lang w:val="en-US" w:eastAsia="zh-CN"/>
              </w:rPr>
            </w:pPr>
            <w:r>
              <w:rPr>
                <w:rFonts w:hint="eastAsia" w:ascii="宋体" w:hAnsi="宋体"/>
                <w:color w:val="000000"/>
                <w:szCs w:val="21"/>
                <w:lang w:val="en-US" w:eastAsia="zh-CN"/>
              </w:rPr>
              <w:t>2</w:t>
            </w:r>
          </w:p>
        </w:tc>
        <w:tc>
          <w:tcPr>
            <w:tcW w:w="1747" w:type="dxa"/>
            <w:gridSpan w:val="2"/>
            <w:tcBorders>
              <w:top w:val="single" w:color="000000" w:sz="4" w:space="0"/>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hint="eastAsia" w:ascii="宋体" w:hAnsi="宋体" w:eastAsia="微软雅黑"/>
                <w:color w:val="000000"/>
                <w:szCs w:val="21"/>
                <w:lang w:eastAsia="zh-CN"/>
              </w:rPr>
            </w:pPr>
            <w:r>
              <w:rPr>
                <w:rFonts w:hint="eastAsia" w:ascii="宋体" w:hAnsi="宋体"/>
                <w:color w:val="000000"/>
                <w:szCs w:val="21"/>
                <w:lang w:val="en-US" w:eastAsia="zh-CN"/>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2" w:hRule="atLeast"/>
        </w:trPr>
        <w:tc>
          <w:tcPr>
            <w:tcW w:w="1361" w:type="dxa"/>
            <w:gridSpan w:val="2"/>
            <w:vMerge w:val="continue"/>
            <w:tcBorders>
              <w:left w:val="single" w:color="000000" w:sz="4" w:space="0"/>
              <w:right w:val="single" w:color="000000" w:sz="4" w:space="0"/>
            </w:tcBorders>
            <w:vAlign w:val="center"/>
          </w:tcPr>
          <w:p>
            <w:pPr>
              <w:autoSpaceDN w:val="0"/>
              <w:spacing w:line="300" w:lineRule="exact"/>
              <w:jc w:val="center"/>
              <w:textAlignment w:val="center"/>
              <w:rPr>
                <w:rFonts w:hint="eastAsia" w:ascii="宋体" w:hAnsi="宋体" w:eastAsia="宋体"/>
                <w:color w:val="000000"/>
                <w:sz w:val="21"/>
                <w:szCs w:val="21"/>
              </w:rPr>
            </w:pPr>
          </w:p>
        </w:tc>
        <w:tc>
          <w:tcPr>
            <w:tcW w:w="916" w:type="dxa"/>
            <w:gridSpan w:val="2"/>
            <w:vMerge w:val="continue"/>
            <w:tcBorders>
              <w:left w:val="single" w:color="000000" w:sz="4" w:space="0"/>
              <w:right w:val="single" w:color="000000" w:sz="4" w:space="0"/>
            </w:tcBorders>
            <w:vAlign w:val="center"/>
          </w:tcPr>
          <w:p>
            <w:pPr>
              <w:autoSpaceDN w:val="0"/>
              <w:spacing w:line="300" w:lineRule="exact"/>
              <w:jc w:val="center"/>
              <w:textAlignment w:val="center"/>
              <w:rPr>
                <w:rFonts w:hint="eastAsia" w:ascii="宋体" w:hAnsi="宋体" w:eastAsia="宋体"/>
                <w:color w:val="000000"/>
                <w:sz w:val="21"/>
                <w:szCs w:val="21"/>
              </w:rPr>
            </w:pPr>
          </w:p>
        </w:tc>
        <w:tc>
          <w:tcPr>
            <w:tcW w:w="1272" w:type="dxa"/>
            <w:gridSpan w:val="3"/>
            <w:vMerge w:val="continue"/>
            <w:tcBorders>
              <w:left w:val="single" w:color="000000" w:sz="4" w:space="0"/>
              <w:right w:val="single" w:color="000000" w:sz="4" w:space="0"/>
            </w:tcBorders>
            <w:vAlign w:val="center"/>
          </w:tcPr>
          <w:p>
            <w:pPr>
              <w:autoSpaceDN w:val="0"/>
              <w:spacing w:line="300" w:lineRule="exact"/>
              <w:jc w:val="center"/>
              <w:textAlignment w:val="center"/>
              <w:rPr>
                <w:rFonts w:hint="eastAsia" w:ascii="宋体" w:hAnsi="宋体" w:eastAsia="宋体"/>
                <w:color w:val="000000"/>
                <w:sz w:val="21"/>
                <w:szCs w:val="21"/>
              </w:rPr>
            </w:pPr>
          </w:p>
        </w:tc>
        <w:tc>
          <w:tcPr>
            <w:tcW w:w="759" w:type="dxa"/>
            <w:vMerge w:val="continue"/>
            <w:tcBorders>
              <w:left w:val="single" w:color="000000" w:sz="4" w:space="0"/>
              <w:right w:val="single" w:color="000000" w:sz="4" w:space="0"/>
            </w:tcBorders>
            <w:vAlign w:val="center"/>
          </w:tcPr>
          <w:p>
            <w:pPr>
              <w:autoSpaceDN w:val="0"/>
              <w:spacing w:line="300" w:lineRule="exact"/>
              <w:jc w:val="center"/>
              <w:textAlignment w:val="center"/>
              <w:rPr>
                <w:rFonts w:ascii="宋体" w:hAnsi="宋体"/>
                <w:color w:val="000000"/>
                <w:szCs w:val="21"/>
              </w:rPr>
            </w:pPr>
          </w:p>
        </w:tc>
        <w:tc>
          <w:tcPr>
            <w:tcW w:w="1844" w:type="dxa"/>
            <w:gridSpan w:val="3"/>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hint="eastAsia" w:ascii="宋体" w:hAnsi="宋体" w:eastAsia="宋体" w:cs="宋体"/>
                <w:color w:val="000000"/>
                <w:sz w:val="21"/>
                <w:szCs w:val="21"/>
              </w:rPr>
            </w:pPr>
            <w:r>
              <w:rPr>
                <w:rFonts w:hint="eastAsia" w:ascii="宋体" w:hAnsi="宋体" w:eastAsia="宋体" w:cs="宋体"/>
                <w:color w:val="000000"/>
                <w:sz w:val="21"/>
                <w:szCs w:val="21"/>
                <w:lang w:eastAsia="zh-CN"/>
              </w:rPr>
              <w:t>立项程序规范性</w:t>
            </w:r>
          </w:p>
        </w:tc>
        <w:tc>
          <w:tcPr>
            <w:tcW w:w="781" w:type="dxa"/>
            <w:gridSpan w:val="2"/>
            <w:tcBorders>
              <w:top w:val="single" w:color="000000" w:sz="4" w:space="0"/>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hint="default" w:ascii="宋体" w:hAnsi="宋体"/>
                <w:color w:val="000000"/>
                <w:szCs w:val="21"/>
                <w:lang w:val="en-US" w:eastAsia="zh-CN"/>
              </w:rPr>
            </w:pPr>
            <w:r>
              <w:rPr>
                <w:rFonts w:hint="eastAsia" w:ascii="宋体" w:hAnsi="宋体"/>
                <w:color w:val="000000"/>
                <w:szCs w:val="21"/>
                <w:lang w:val="en-US" w:eastAsia="zh-CN"/>
              </w:rPr>
              <w:t>2</w:t>
            </w:r>
          </w:p>
        </w:tc>
        <w:tc>
          <w:tcPr>
            <w:tcW w:w="1747" w:type="dxa"/>
            <w:gridSpan w:val="2"/>
            <w:tcBorders>
              <w:top w:val="single" w:color="000000" w:sz="4" w:space="0"/>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hint="default" w:ascii="宋体" w:hAnsi="宋体"/>
                <w:color w:val="000000"/>
                <w:szCs w:val="21"/>
                <w:lang w:val="en-US" w:eastAsia="zh-CN"/>
              </w:rPr>
            </w:pPr>
            <w:r>
              <w:rPr>
                <w:rFonts w:hint="eastAsia" w:ascii="宋体" w:hAnsi="宋体"/>
                <w:color w:val="000000"/>
                <w:szCs w:val="21"/>
                <w:lang w:val="en-US" w:eastAsia="zh-CN"/>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2" w:hRule="atLeast"/>
        </w:trPr>
        <w:tc>
          <w:tcPr>
            <w:tcW w:w="1361" w:type="dxa"/>
            <w:gridSpan w:val="2"/>
            <w:vMerge w:val="continue"/>
            <w:tcBorders>
              <w:top w:val="single" w:color="000000" w:sz="4" w:space="0"/>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ascii="宋体" w:hAnsi="宋体"/>
                <w:color w:val="000000"/>
                <w:szCs w:val="21"/>
              </w:rPr>
            </w:pPr>
          </w:p>
        </w:tc>
        <w:tc>
          <w:tcPr>
            <w:tcW w:w="916" w:type="dxa"/>
            <w:gridSpan w:val="2"/>
            <w:vMerge w:val="continue"/>
            <w:tcBorders>
              <w:left w:val="single" w:color="000000" w:sz="4" w:space="0"/>
              <w:right w:val="single" w:color="000000" w:sz="4" w:space="0"/>
            </w:tcBorders>
            <w:vAlign w:val="center"/>
          </w:tcPr>
          <w:p>
            <w:pPr>
              <w:autoSpaceDN w:val="0"/>
              <w:spacing w:line="300" w:lineRule="exact"/>
              <w:jc w:val="center"/>
              <w:textAlignment w:val="center"/>
              <w:rPr>
                <w:rFonts w:ascii="宋体" w:hAnsi="宋体"/>
                <w:color w:val="000000"/>
                <w:szCs w:val="21"/>
              </w:rPr>
            </w:pPr>
          </w:p>
        </w:tc>
        <w:tc>
          <w:tcPr>
            <w:tcW w:w="1272" w:type="dxa"/>
            <w:gridSpan w:val="3"/>
            <w:vMerge w:val="restart"/>
            <w:tcBorders>
              <w:left w:val="single" w:color="000000" w:sz="4" w:space="0"/>
              <w:right w:val="single" w:color="000000" w:sz="4" w:space="0"/>
            </w:tcBorders>
            <w:vAlign w:val="center"/>
          </w:tcPr>
          <w:p>
            <w:pPr>
              <w:autoSpaceDN w:val="0"/>
              <w:spacing w:line="300" w:lineRule="exact"/>
              <w:jc w:val="center"/>
              <w:textAlignment w:val="center"/>
              <w:rPr>
                <w:rFonts w:ascii="宋体" w:hAnsi="宋体"/>
                <w:color w:val="000000"/>
                <w:szCs w:val="21"/>
              </w:rPr>
            </w:pPr>
            <w:r>
              <w:rPr>
                <w:rFonts w:hint="eastAsia" w:ascii="宋体" w:hAnsi="宋体" w:eastAsia="宋体"/>
                <w:color w:val="000000"/>
                <w:sz w:val="21"/>
                <w:szCs w:val="21"/>
              </w:rPr>
              <w:t>绩效目标</w:t>
            </w:r>
          </w:p>
        </w:tc>
        <w:tc>
          <w:tcPr>
            <w:tcW w:w="759" w:type="dxa"/>
            <w:vMerge w:val="restart"/>
            <w:tcBorders>
              <w:left w:val="single" w:color="000000" w:sz="4" w:space="0"/>
              <w:right w:val="single" w:color="000000" w:sz="4" w:space="0"/>
            </w:tcBorders>
            <w:vAlign w:val="center"/>
          </w:tcPr>
          <w:p>
            <w:pPr>
              <w:autoSpaceDN w:val="0"/>
              <w:spacing w:line="300" w:lineRule="exact"/>
              <w:jc w:val="center"/>
              <w:textAlignment w:val="center"/>
              <w:rPr>
                <w:rFonts w:hint="eastAsia" w:ascii="宋体" w:hAnsi="宋体" w:eastAsia="微软雅黑"/>
                <w:color w:val="000000"/>
                <w:szCs w:val="21"/>
                <w:lang w:eastAsia="zh-CN"/>
              </w:rPr>
            </w:pPr>
            <w:r>
              <w:rPr>
                <w:rFonts w:hint="eastAsia" w:ascii="宋体" w:hAnsi="宋体"/>
                <w:color w:val="000000"/>
                <w:szCs w:val="21"/>
                <w:lang w:val="en-US" w:eastAsia="zh-CN"/>
              </w:rPr>
              <w:t>4</w:t>
            </w:r>
          </w:p>
        </w:tc>
        <w:tc>
          <w:tcPr>
            <w:tcW w:w="1844" w:type="dxa"/>
            <w:gridSpan w:val="3"/>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ascii="宋体" w:hAnsi="宋体" w:cs="宋体"/>
                <w:color w:val="000000"/>
                <w:szCs w:val="21"/>
              </w:rPr>
            </w:pPr>
            <w:r>
              <w:rPr>
                <w:rFonts w:hint="eastAsia" w:ascii="宋体" w:hAnsi="宋体" w:eastAsia="宋体" w:cs="宋体"/>
                <w:color w:val="000000"/>
                <w:sz w:val="21"/>
                <w:szCs w:val="21"/>
              </w:rPr>
              <w:t>绩效目标合理性</w:t>
            </w:r>
          </w:p>
        </w:tc>
        <w:tc>
          <w:tcPr>
            <w:tcW w:w="781" w:type="dxa"/>
            <w:gridSpan w:val="2"/>
            <w:tcBorders>
              <w:top w:val="single" w:color="000000" w:sz="4" w:space="0"/>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hint="default" w:ascii="宋体" w:hAnsi="宋体" w:eastAsia="微软雅黑"/>
                <w:color w:val="000000"/>
                <w:szCs w:val="21"/>
                <w:lang w:val="en-US" w:eastAsia="zh-CN"/>
              </w:rPr>
            </w:pPr>
            <w:r>
              <w:rPr>
                <w:rFonts w:hint="eastAsia" w:ascii="宋体" w:hAnsi="宋体"/>
                <w:color w:val="000000"/>
                <w:szCs w:val="21"/>
                <w:lang w:val="en-US" w:eastAsia="zh-CN"/>
              </w:rPr>
              <w:t>2</w:t>
            </w:r>
          </w:p>
        </w:tc>
        <w:tc>
          <w:tcPr>
            <w:tcW w:w="1747" w:type="dxa"/>
            <w:gridSpan w:val="2"/>
            <w:tcBorders>
              <w:top w:val="single" w:color="000000" w:sz="4" w:space="0"/>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hint="eastAsia" w:ascii="宋体" w:hAnsi="宋体" w:eastAsia="微软雅黑"/>
                <w:color w:val="000000"/>
                <w:szCs w:val="21"/>
                <w:lang w:eastAsia="zh-CN"/>
              </w:rPr>
            </w:pPr>
            <w:r>
              <w:rPr>
                <w:rFonts w:hint="eastAsia" w:ascii="宋体" w:hAnsi="宋体"/>
                <w:color w:val="000000"/>
                <w:szCs w:val="21"/>
                <w:lang w:val="en-US" w:eastAsia="zh-CN"/>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2" w:hRule="atLeast"/>
        </w:trPr>
        <w:tc>
          <w:tcPr>
            <w:tcW w:w="1361" w:type="dxa"/>
            <w:gridSpan w:val="2"/>
            <w:vMerge w:val="continue"/>
            <w:tcBorders>
              <w:top w:val="single" w:color="000000" w:sz="4" w:space="0"/>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ascii="宋体" w:hAnsi="宋体"/>
                <w:color w:val="000000"/>
                <w:szCs w:val="21"/>
              </w:rPr>
            </w:pPr>
          </w:p>
        </w:tc>
        <w:tc>
          <w:tcPr>
            <w:tcW w:w="916" w:type="dxa"/>
            <w:gridSpan w:val="2"/>
            <w:vMerge w:val="continue"/>
            <w:tcBorders>
              <w:left w:val="single" w:color="000000" w:sz="4" w:space="0"/>
              <w:right w:val="single" w:color="000000" w:sz="4" w:space="0"/>
            </w:tcBorders>
            <w:vAlign w:val="center"/>
          </w:tcPr>
          <w:p>
            <w:pPr>
              <w:autoSpaceDN w:val="0"/>
              <w:spacing w:line="300" w:lineRule="exact"/>
              <w:jc w:val="center"/>
              <w:textAlignment w:val="center"/>
              <w:rPr>
                <w:rFonts w:ascii="宋体" w:hAnsi="宋体"/>
                <w:color w:val="000000"/>
                <w:szCs w:val="21"/>
              </w:rPr>
            </w:pPr>
          </w:p>
        </w:tc>
        <w:tc>
          <w:tcPr>
            <w:tcW w:w="1272" w:type="dxa"/>
            <w:gridSpan w:val="3"/>
            <w:vMerge w:val="continue"/>
            <w:tcBorders>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ascii="宋体" w:hAnsi="宋体"/>
                <w:color w:val="000000"/>
                <w:szCs w:val="21"/>
              </w:rPr>
            </w:pPr>
          </w:p>
        </w:tc>
        <w:tc>
          <w:tcPr>
            <w:tcW w:w="759" w:type="dxa"/>
            <w:vMerge w:val="continue"/>
            <w:tcBorders>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ascii="宋体" w:hAnsi="宋体"/>
                <w:color w:val="000000"/>
                <w:szCs w:val="21"/>
              </w:rPr>
            </w:pPr>
          </w:p>
        </w:tc>
        <w:tc>
          <w:tcPr>
            <w:tcW w:w="1844" w:type="dxa"/>
            <w:gridSpan w:val="3"/>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ascii="宋体" w:hAnsi="宋体" w:cs="宋体"/>
                <w:color w:val="000000"/>
                <w:szCs w:val="21"/>
              </w:rPr>
            </w:pPr>
            <w:r>
              <w:rPr>
                <w:rFonts w:hint="eastAsia" w:ascii="宋体" w:hAnsi="宋体" w:eastAsia="宋体" w:cs="宋体"/>
                <w:color w:val="000000"/>
                <w:sz w:val="21"/>
                <w:szCs w:val="21"/>
              </w:rPr>
              <w:t>绩效指标明确性</w:t>
            </w:r>
          </w:p>
        </w:tc>
        <w:tc>
          <w:tcPr>
            <w:tcW w:w="781" w:type="dxa"/>
            <w:gridSpan w:val="2"/>
            <w:tcBorders>
              <w:top w:val="single" w:color="000000" w:sz="4" w:space="0"/>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hint="default" w:ascii="宋体" w:hAnsi="宋体" w:eastAsia="微软雅黑"/>
                <w:color w:val="000000"/>
                <w:szCs w:val="21"/>
                <w:lang w:val="en-US" w:eastAsia="zh-CN"/>
              </w:rPr>
            </w:pPr>
            <w:r>
              <w:rPr>
                <w:rFonts w:hint="eastAsia" w:ascii="宋体" w:hAnsi="宋体"/>
                <w:color w:val="000000"/>
                <w:szCs w:val="21"/>
                <w:lang w:val="en-US" w:eastAsia="zh-CN"/>
              </w:rPr>
              <w:t>2</w:t>
            </w:r>
          </w:p>
        </w:tc>
        <w:tc>
          <w:tcPr>
            <w:tcW w:w="1747" w:type="dxa"/>
            <w:gridSpan w:val="2"/>
            <w:tcBorders>
              <w:top w:val="single" w:color="000000" w:sz="4" w:space="0"/>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hint="eastAsia" w:ascii="宋体" w:hAnsi="宋体" w:eastAsia="微软雅黑"/>
                <w:color w:val="000000"/>
                <w:szCs w:val="21"/>
                <w:lang w:eastAsia="zh-CN"/>
              </w:rPr>
            </w:pPr>
            <w:r>
              <w:rPr>
                <w:rFonts w:hint="eastAsia" w:ascii="宋体" w:hAnsi="宋体"/>
                <w:color w:val="000000"/>
                <w:szCs w:val="21"/>
                <w:lang w:val="en-US" w:eastAsia="zh-CN"/>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2" w:hRule="atLeast"/>
        </w:trPr>
        <w:tc>
          <w:tcPr>
            <w:tcW w:w="1361" w:type="dxa"/>
            <w:gridSpan w:val="2"/>
            <w:vMerge w:val="continue"/>
            <w:tcBorders>
              <w:top w:val="single" w:color="000000" w:sz="4" w:space="0"/>
              <w:left w:val="single" w:color="000000" w:sz="4" w:space="0"/>
              <w:bottom w:val="single" w:color="000000" w:sz="4" w:space="0"/>
              <w:right w:val="single" w:color="000000" w:sz="4" w:space="0"/>
            </w:tcBorders>
            <w:vAlign w:val="center"/>
          </w:tcPr>
          <w:p>
            <w:pPr>
              <w:spacing w:line="300" w:lineRule="exact"/>
              <w:jc w:val="center"/>
              <w:rPr>
                <w:rFonts w:ascii="宋体" w:hAnsi="宋体"/>
                <w:szCs w:val="21"/>
              </w:rPr>
            </w:pPr>
          </w:p>
        </w:tc>
        <w:tc>
          <w:tcPr>
            <w:tcW w:w="916" w:type="dxa"/>
            <w:gridSpan w:val="2"/>
            <w:vMerge w:val="continue"/>
            <w:tcBorders>
              <w:left w:val="single" w:color="000000" w:sz="4" w:space="0"/>
              <w:right w:val="single" w:color="000000" w:sz="4" w:space="0"/>
            </w:tcBorders>
            <w:vAlign w:val="center"/>
          </w:tcPr>
          <w:p>
            <w:pPr>
              <w:spacing w:line="300" w:lineRule="exact"/>
              <w:jc w:val="center"/>
              <w:rPr>
                <w:rFonts w:ascii="宋体" w:hAnsi="宋体"/>
                <w:szCs w:val="21"/>
              </w:rPr>
            </w:pPr>
          </w:p>
        </w:tc>
        <w:tc>
          <w:tcPr>
            <w:tcW w:w="1272" w:type="dxa"/>
            <w:gridSpan w:val="3"/>
            <w:vMerge w:val="restart"/>
            <w:tcBorders>
              <w:top w:val="single" w:color="000000" w:sz="4" w:space="0"/>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ascii="宋体" w:hAnsi="宋体"/>
                <w:color w:val="000000"/>
                <w:szCs w:val="21"/>
              </w:rPr>
            </w:pPr>
            <w:r>
              <w:rPr>
                <w:rFonts w:hint="eastAsia" w:ascii="宋体" w:hAnsi="宋体" w:eastAsia="宋体"/>
                <w:color w:val="000000"/>
                <w:sz w:val="21"/>
                <w:szCs w:val="21"/>
              </w:rPr>
              <w:t>资金投入</w:t>
            </w:r>
          </w:p>
        </w:tc>
        <w:tc>
          <w:tcPr>
            <w:tcW w:w="759" w:type="dxa"/>
            <w:vMerge w:val="restart"/>
            <w:tcBorders>
              <w:top w:val="single" w:color="000000" w:sz="4" w:space="0"/>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hint="eastAsia" w:ascii="宋体" w:hAnsi="宋体" w:eastAsia="微软雅黑"/>
                <w:color w:val="000000"/>
                <w:szCs w:val="21"/>
                <w:lang w:eastAsia="zh-CN"/>
              </w:rPr>
            </w:pPr>
            <w:r>
              <w:rPr>
                <w:rFonts w:hint="eastAsia" w:ascii="宋体" w:hAnsi="宋体"/>
                <w:color w:val="000000"/>
                <w:szCs w:val="21"/>
                <w:lang w:val="en-US" w:eastAsia="zh-CN"/>
              </w:rPr>
              <w:t>7</w:t>
            </w:r>
          </w:p>
        </w:tc>
        <w:tc>
          <w:tcPr>
            <w:tcW w:w="1844" w:type="dxa"/>
            <w:gridSpan w:val="3"/>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ascii="宋体" w:hAnsi="宋体" w:cs="宋体"/>
                <w:color w:val="000000"/>
                <w:szCs w:val="21"/>
              </w:rPr>
            </w:pPr>
            <w:r>
              <w:rPr>
                <w:rFonts w:hint="eastAsia" w:ascii="宋体" w:hAnsi="宋体" w:eastAsia="宋体" w:cs="宋体"/>
                <w:color w:val="000000"/>
                <w:sz w:val="21"/>
                <w:szCs w:val="21"/>
              </w:rPr>
              <w:t>预算编制科学性</w:t>
            </w:r>
          </w:p>
        </w:tc>
        <w:tc>
          <w:tcPr>
            <w:tcW w:w="781" w:type="dxa"/>
            <w:gridSpan w:val="2"/>
            <w:tcBorders>
              <w:top w:val="single" w:color="000000" w:sz="4" w:space="0"/>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ascii="宋体" w:hAnsi="宋体"/>
                <w:color w:val="000000"/>
                <w:szCs w:val="21"/>
              </w:rPr>
            </w:pPr>
            <w:r>
              <w:rPr>
                <w:rFonts w:hint="eastAsia" w:ascii="宋体" w:hAnsi="宋体"/>
                <w:color w:val="000000"/>
                <w:szCs w:val="21"/>
              </w:rPr>
              <w:t>4</w:t>
            </w:r>
          </w:p>
        </w:tc>
        <w:tc>
          <w:tcPr>
            <w:tcW w:w="1747" w:type="dxa"/>
            <w:gridSpan w:val="2"/>
            <w:tcBorders>
              <w:top w:val="single" w:color="000000" w:sz="4" w:space="0"/>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ascii="宋体" w:hAnsi="宋体"/>
                <w:color w:val="000000"/>
                <w:szCs w:val="21"/>
              </w:rPr>
            </w:pPr>
            <w:r>
              <w:rPr>
                <w:rFonts w:hint="eastAsia" w:ascii="宋体" w:hAnsi="宋体"/>
                <w:color w:val="000000"/>
                <w:szCs w:val="21"/>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2" w:hRule="atLeast"/>
        </w:trPr>
        <w:tc>
          <w:tcPr>
            <w:tcW w:w="1361" w:type="dxa"/>
            <w:gridSpan w:val="2"/>
            <w:vMerge w:val="continue"/>
            <w:tcBorders>
              <w:top w:val="single" w:color="000000" w:sz="4" w:space="0"/>
              <w:left w:val="single" w:color="000000" w:sz="4" w:space="0"/>
              <w:bottom w:val="single" w:color="000000" w:sz="4" w:space="0"/>
              <w:right w:val="single" w:color="000000" w:sz="4" w:space="0"/>
            </w:tcBorders>
            <w:vAlign w:val="center"/>
          </w:tcPr>
          <w:p>
            <w:pPr>
              <w:spacing w:line="300" w:lineRule="exact"/>
              <w:jc w:val="center"/>
              <w:rPr>
                <w:rFonts w:ascii="宋体" w:hAnsi="宋体"/>
                <w:szCs w:val="21"/>
              </w:rPr>
            </w:pPr>
          </w:p>
        </w:tc>
        <w:tc>
          <w:tcPr>
            <w:tcW w:w="916" w:type="dxa"/>
            <w:gridSpan w:val="2"/>
            <w:vMerge w:val="continue"/>
            <w:tcBorders>
              <w:left w:val="single" w:color="000000" w:sz="4" w:space="0"/>
              <w:right w:val="single" w:color="000000" w:sz="4" w:space="0"/>
            </w:tcBorders>
            <w:vAlign w:val="center"/>
          </w:tcPr>
          <w:p>
            <w:pPr>
              <w:spacing w:line="300" w:lineRule="exact"/>
              <w:jc w:val="center"/>
              <w:rPr>
                <w:rFonts w:ascii="宋体" w:hAnsi="宋体"/>
                <w:szCs w:val="21"/>
              </w:rPr>
            </w:pPr>
          </w:p>
        </w:tc>
        <w:tc>
          <w:tcPr>
            <w:tcW w:w="1272" w:type="dxa"/>
            <w:gridSpan w:val="3"/>
            <w:vMerge w:val="continue"/>
            <w:tcBorders>
              <w:top w:val="single" w:color="000000" w:sz="4" w:space="0"/>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ascii="宋体" w:hAnsi="宋体"/>
                <w:color w:val="000000"/>
                <w:szCs w:val="21"/>
              </w:rPr>
            </w:pPr>
          </w:p>
        </w:tc>
        <w:tc>
          <w:tcPr>
            <w:tcW w:w="759" w:type="dxa"/>
            <w:vMerge w:val="continue"/>
            <w:tcBorders>
              <w:top w:val="single" w:color="000000" w:sz="4" w:space="0"/>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ascii="宋体" w:hAnsi="宋体"/>
                <w:color w:val="000000"/>
                <w:szCs w:val="21"/>
              </w:rPr>
            </w:pPr>
          </w:p>
        </w:tc>
        <w:tc>
          <w:tcPr>
            <w:tcW w:w="1844" w:type="dxa"/>
            <w:gridSpan w:val="3"/>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ascii="宋体" w:hAnsi="宋体" w:cs="宋体"/>
                <w:color w:val="000000"/>
                <w:szCs w:val="21"/>
              </w:rPr>
            </w:pPr>
            <w:r>
              <w:rPr>
                <w:rFonts w:hint="eastAsia" w:ascii="宋体" w:hAnsi="宋体" w:eastAsia="宋体" w:cs="宋体"/>
                <w:color w:val="000000"/>
                <w:sz w:val="21"/>
                <w:szCs w:val="21"/>
              </w:rPr>
              <w:t>资金分配合理性</w:t>
            </w:r>
          </w:p>
        </w:tc>
        <w:tc>
          <w:tcPr>
            <w:tcW w:w="781" w:type="dxa"/>
            <w:gridSpan w:val="2"/>
            <w:tcBorders>
              <w:top w:val="single" w:color="000000" w:sz="4" w:space="0"/>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hint="eastAsia" w:ascii="宋体" w:hAnsi="宋体" w:eastAsia="微软雅黑"/>
                <w:color w:val="000000"/>
                <w:szCs w:val="21"/>
                <w:lang w:eastAsia="zh-CN"/>
              </w:rPr>
            </w:pPr>
            <w:r>
              <w:rPr>
                <w:rFonts w:hint="eastAsia" w:ascii="宋体" w:hAnsi="宋体"/>
                <w:color w:val="000000"/>
                <w:szCs w:val="21"/>
                <w:lang w:val="en-US" w:eastAsia="zh-CN"/>
              </w:rPr>
              <w:t>3</w:t>
            </w:r>
          </w:p>
        </w:tc>
        <w:tc>
          <w:tcPr>
            <w:tcW w:w="1747" w:type="dxa"/>
            <w:gridSpan w:val="2"/>
            <w:tcBorders>
              <w:top w:val="single" w:color="000000" w:sz="4" w:space="0"/>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hint="eastAsia" w:ascii="宋体" w:hAnsi="宋体" w:eastAsia="微软雅黑"/>
                <w:color w:val="000000"/>
                <w:szCs w:val="21"/>
                <w:lang w:eastAsia="zh-CN"/>
              </w:rPr>
            </w:pPr>
            <w:r>
              <w:rPr>
                <w:rFonts w:hint="eastAsia" w:ascii="宋体" w:hAnsi="宋体"/>
                <w:color w:val="000000"/>
                <w:szCs w:val="21"/>
                <w:lang w:val="en-US" w:eastAsia="zh-CN"/>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2" w:hRule="atLeast"/>
        </w:trPr>
        <w:tc>
          <w:tcPr>
            <w:tcW w:w="1361" w:type="dxa"/>
            <w:gridSpan w:val="2"/>
            <w:vMerge w:val="restart"/>
            <w:tcBorders>
              <w:top w:val="single" w:color="000000" w:sz="4" w:space="0"/>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ascii="宋体" w:hAnsi="宋体"/>
                <w:color w:val="000000"/>
                <w:szCs w:val="21"/>
              </w:rPr>
            </w:pPr>
            <w:r>
              <w:rPr>
                <w:rFonts w:hint="eastAsia" w:ascii="宋体" w:hAnsi="宋体" w:eastAsia="宋体"/>
                <w:color w:val="000000"/>
                <w:sz w:val="21"/>
                <w:szCs w:val="21"/>
              </w:rPr>
              <w:t>过程</w:t>
            </w:r>
          </w:p>
        </w:tc>
        <w:tc>
          <w:tcPr>
            <w:tcW w:w="916" w:type="dxa"/>
            <w:gridSpan w:val="2"/>
            <w:vMerge w:val="continue"/>
            <w:tcBorders>
              <w:left w:val="single" w:color="000000" w:sz="4" w:space="0"/>
              <w:right w:val="single" w:color="000000" w:sz="4" w:space="0"/>
            </w:tcBorders>
            <w:vAlign w:val="center"/>
          </w:tcPr>
          <w:p>
            <w:pPr>
              <w:autoSpaceDN w:val="0"/>
              <w:spacing w:line="300" w:lineRule="exact"/>
              <w:jc w:val="center"/>
              <w:textAlignment w:val="center"/>
              <w:rPr>
                <w:rFonts w:ascii="宋体" w:hAnsi="宋体"/>
                <w:color w:val="000000"/>
                <w:szCs w:val="21"/>
              </w:rPr>
            </w:pPr>
          </w:p>
        </w:tc>
        <w:tc>
          <w:tcPr>
            <w:tcW w:w="1272" w:type="dxa"/>
            <w:gridSpan w:val="3"/>
            <w:vMerge w:val="restart"/>
            <w:tcBorders>
              <w:top w:val="single" w:color="000000" w:sz="4" w:space="0"/>
              <w:left w:val="single" w:color="000000" w:sz="4" w:space="0"/>
              <w:right w:val="single" w:color="000000" w:sz="4" w:space="0"/>
            </w:tcBorders>
            <w:vAlign w:val="center"/>
          </w:tcPr>
          <w:p>
            <w:pPr>
              <w:spacing w:line="0" w:lineRule="atLeast"/>
              <w:jc w:val="center"/>
              <w:rPr>
                <w:rFonts w:ascii="宋体" w:hAnsi="宋体"/>
                <w:color w:val="000000"/>
                <w:szCs w:val="21"/>
              </w:rPr>
            </w:pPr>
            <w:r>
              <w:rPr>
                <w:rFonts w:hint="eastAsia" w:ascii="宋体" w:hAnsi="宋体" w:eastAsia="宋体"/>
                <w:color w:val="000000"/>
                <w:sz w:val="21"/>
                <w:szCs w:val="21"/>
              </w:rPr>
              <w:t>资金管理</w:t>
            </w:r>
          </w:p>
        </w:tc>
        <w:tc>
          <w:tcPr>
            <w:tcW w:w="759" w:type="dxa"/>
            <w:vMerge w:val="restart"/>
            <w:tcBorders>
              <w:top w:val="single" w:color="000000" w:sz="4" w:space="0"/>
              <w:left w:val="single" w:color="000000" w:sz="4" w:space="0"/>
              <w:right w:val="single" w:color="000000" w:sz="4" w:space="0"/>
            </w:tcBorders>
            <w:vAlign w:val="center"/>
          </w:tcPr>
          <w:p>
            <w:pPr>
              <w:autoSpaceDN w:val="0"/>
              <w:spacing w:line="300" w:lineRule="exact"/>
              <w:jc w:val="center"/>
              <w:textAlignment w:val="center"/>
              <w:rPr>
                <w:rFonts w:ascii="宋体" w:hAnsi="宋体"/>
                <w:color w:val="000000"/>
                <w:szCs w:val="21"/>
              </w:rPr>
            </w:pPr>
            <w:r>
              <w:rPr>
                <w:rFonts w:hint="eastAsia" w:ascii="宋体" w:hAnsi="宋体"/>
                <w:color w:val="000000"/>
                <w:szCs w:val="21"/>
              </w:rPr>
              <w:t>15</w:t>
            </w:r>
          </w:p>
        </w:tc>
        <w:tc>
          <w:tcPr>
            <w:tcW w:w="1844" w:type="dxa"/>
            <w:gridSpan w:val="3"/>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ascii="宋体" w:hAnsi="宋体" w:cs="宋体"/>
                <w:color w:val="000000"/>
                <w:szCs w:val="21"/>
              </w:rPr>
            </w:pPr>
            <w:r>
              <w:rPr>
                <w:rFonts w:hint="eastAsia" w:ascii="宋体" w:hAnsi="宋体" w:eastAsia="宋体" w:cs="宋体"/>
                <w:color w:val="000000"/>
                <w:sz w:val="21"/>
                <w:szCs w:val="21"/>
              </w:rPr>
              <w:t>资金到位率</w:t>
            </w:r>
          </w:p>
        </w:tc>
        <w:tc>
          <w:tcPr>
            <w:tcW w:w="781" w:type="dxa"/>
            <w:gridSpan w:val="2"/>
            <w:tcBorders>
              <w:top w:val="single" w:color="000000" w:sz="4" w:space="0"/>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ascii="宋体" w:hAnsi="宋体"/>
                <w:color w:val="000000"/>
                <w:szCs w:val="21"/>
              </w:rPr>
            </w:pPr>
            <w:r>
              <w:rPr>
                <w:rFonts w:hint="eastAsia" w:ascii="宋体" w:hAnsi="宋体"/>
                <w:color w:val="000000"/>
                <w:szCs w:val="21"/>
              </w:rPr>
              <w:t>5</w:t>
            </w:r>
          </w:p>
        </w:tc>
        <w:tc>
          <w:tcPr>
            <w:tcW w:w="1747" w:type="dxa"/>
            <w:gridSpan w:val="2"/>
            <w:tcBorders>
              <w:top w:val="single" w:color="000000" w:sz="4" w:space="0"/>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ascii="宋体" w:hAnsi="宋体"/>
                <w:color w:val="000000"/>
                <w:szCs w:val="21"/>
              </w:rPr>
            </w:pPr>
            <w:r>
              <w:rPr>
                <w:rFonts w:hint="eastAsia" w:ascii="宋体" w:hAnsi="宋体"/>
                <w:color w:val="000000"/>
                <w:szCs w:val="21"/>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2" w:hRule="atLeast"/>
        </w:trPr>
        <w:tc>
          <w:tcPr>
            <w:tcW w:w="1361" w:type="dxa"/>
            <w:gridSpan w:val="2"/>
            <w:vMerge w:val="continue"/>
            <w:tcBorders>
              <w:top w:val="single" w:color="000000" w:sz="4" w:space="0"/>
              <w:left w:val="single" w:color="000000" w:sz="4" w:space="0"/>
              <w:bottom w:val="single" w:color="000000" w:sz="4" w:space="0"/>
              <w:right w:val="single" w:color="000000" w:sz="4" w:space="0"/>
            </w:tcBorders>
            <w:vAlign w:val="center"/>
          </w:tcPr>
          <w:p>
            <w:pPr>
              <w:spacing w:line="300" w:lineRule="exact"/>
              <w:jc w:val="center"/>
              <w:rPr>
                <w:rFonts w:ascii="宋体" w:hAnsi="宋体"/>
                <w:szCs w:val="21"/>
              </w:rPr>
            </w:pPr>
          </w:p>
        </w:tc>
        <w:tc>
          <w:tcPr>
            <w:tcW w:w="916" w:type="dxa"/>
            <w:gridSpan w:val="2"/>
            <w:vMerge w:val="continue"/>
            <w:tcBorders>
              <w:left w:val="single" w:color="000000" w:sz="4" w:space="0"/>
              <w:right w:val="single" w:color="000000" w:sz="4" w:space="0"/>
            </w:tcBorders>
            <w:vAlign w:val="center"/>
          </w:tcPr>
          <w:p>
            <w:pPr>
              <w:spacing w:line="300" w:lineRule="exact"/>
              <w:jc w:val="center"/>
              <w:rPr>
                <w:rFonts w:ascii="宋体" w:hAnsi="宋体"/>
                <w:szCs w:val="21"/>
              </w:rPr>
            </w:pPr>
          </w:p>
        </w:tc>
        <w:tc>
          <w:tcPr>
            <w:tcW w:w="1272" w:type="dxa"/>
            <w:gridSpan w:val="3"/>
            <w:vMerge w:val="continue"/>
            <w:tcBorders>
              <w:left w:val="single" w:color="000000" w:sz="4" w:space="0"/>
              <w:right w:val="single" w:color="000000" w:sz="4" w:space="0"/>
            </w:tcBorders>
            <w:vAlign w:val="center"/>
          </w:tcPr>
          <w:p>
            <w:pPr>
              <w:spacing w:line="300" w:lineRule="exact"/>
              <w:jc w:val="center"/>
              <w:rPr>
                <w:rFonts w:ascii="宋体" w:hAnsi="宋体"/>
                <w:color w:val="000000"/>
                <w:szCs w:val="21"/>
              </w:rPr>
            </w:pPr>
          </w:p>
        </w:tc>
        <w:tc>
          <w:tcPr>
            <w:tcW w:w="759" w:type="dxa"/>
            <w:vMerge w:val="continue"/>
            <w:tcBorders>
              <w:left w:val="single" w:color="000000" w:sz="4" w:space="0"/>
              <w:right w:val="single" w:color="000000" w:sz="4" w:space="0"/>
            </w:tcBorders>
            <w:vAlign w:val="center"/>
          </w:tcPr>
          <w:p>
            <w:pPr>
              <w:spacing w:line="300" w:lineRule="exact"/>
              <w:jc w:val="center"/>
              <w:rPr>
                <w:rFonts w:ascii="宋体" w:hAnsi="宋体"/>
                <w:szCs w:val="21"/>
              </w:rPr>
            </w:pPr>
          </w:p>
        </w:tc>
        <w:tc>
          <w:tcPr>
            <w:tcW w:w="1844" w:type="dxa"/>
            <w:gridSpan w:val="3"/>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ascii="宋体" w:hAnsi="宋体" w:cs="宋体"/>
                <w:color w:val="000000"/>
                <w:szCs w:val="21"/>
              </w:rPr>
            </w:pPr>
            <w:r>
              <w:rPr>
                <w:rFonts w:hint="eastAsia" w:ascii="宋体" w:hAnsi="宋体" w:eastAsia="宋体" w:cs="宋体"/>
                <w:color w:val="000000"/>
                <w:sz w:val="21"/>
                <w:szCs w:val="21"/>
              </w:rPr>
              <w:t>预算执行率</w:t>
            </w:r>
          </w:p>
        </w:tc>
        <w:tc>
          <w:tcPr>
            <w:tcW w:w="781" w:type="dxa"/>
            <w:gridSpan w:val="2"/>
            <w:tcBorders>
              <w:top w:val="single" w:color="000000" w:sz="4" w:space="0"/>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ascii="宋体" w:hAnsi="宋体"/>
                <w:color w:val="000000"/>
                <w:szCs w:val="21"/>
              </w:rPr>
            </w:pPr>
            <w:r>
              <w:rPr>
                <w:rFonts w:hint="eastAsia" w:ascii="宋体" w:hAnsi="宋体"/>
                <w:color w:val="000000"/>
                <w:szCs w:val="21"/>
              </w:rPr>
              <w:t>5</w:t>
            </w:r>
          </w:p>
        </w:tc>
        <w:tc>
          <w:tcPr>
            <w:tcW w:w="1747" w:type="dxa"/>
            <w:gridSpan w:val="2"/>
            <w:tcBorders>
              <w:top w:val="single" w:color="000000" w:sz="4" w:space="0"/>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hint="eastAsia" w:ascii="宋体" w:hAnsi="宋体" w:eastAsia="微软雅黑"/>
                <w:color w:val="000000"/>
                <w:szCs w:val="21"/>
                <w:lang w:eastAsia="zh-CN"/>
              </w:rPr>
            </w:pPr>
            <w:r>
              <w:rPr>
                <w:rFonts w:hint="eastAsia" w:ascii="宋体" w:hAnsi="宋体"/>
                <w:color w:val="000000"/>
                <w:szCs w:val="21"/>
                <w:lang w:val="en-US" w:eastAsia="zh-CN"/>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2" w:hRule="atLeast"/>
        </w:trPr>
        <w:tc>
          <w:tcPr>
            <w:tcW w:w="1361" w:type="dxa"/>
            <w:gridSpan w:val="2"/>
            <w:vMerge w:val="continue"/>
            <w:tcBorders>
              <w:top w:val="single" w:color="000000" w:sz="4" w:space="0"/>
              <w:left w:val="single" w:color="000000" w:sz="4" w:space="0"/>
              <w:bottom w:val="single" w:color="000000" w:sz="4" w:space="0"/>
              <w:right w:val="single" w:color="000000" w:sz="4" w:space="0"/>
            </w:tcBorders>
            <w:vAlign w:val="center"/>
          </w:tcPr>
          <w:p>
            <w:pPr>
              <w:spacing w:line="300" w:lineRule="exact"/>
              <w:jc w:val="center"/>
              <w:rPr>
                <w:rFonts w:ascii="宋体" w:hAnsi="宋体"/>
                <w:szCs w:val="21"/>
              </w:rPr>
            </w:pPr>
          </w:p>
        </w:tc>
        <w:tc>
          <w:tcPr>
            <w:tcW w:w="916" w:type="dxa"/>
            <w:gridSpan w:val="2"/>
            <w:vMerge w:val="continue"/>
            <w:tcBorders>
              <w:left w:val="single" w:color="000000" w:sz="4" w:space="0"/>
              <w:right w:val="single" w:color="000000" w:sz="4" w:space="0"/>
            </w:tcBorders>
            <w:vAlign w:val="center"/>
          </w:tcPr>
          <w:p>
            <w:pPr>
              <w:spacing w:line="300" w:lineRule="exact"/>
              <w:jc w:val="center"/>
              <w:rPr>
                <w:rFonts w:ascii="宋体" w:hAnsi="宋体"/>
                <w:szCs w:val="21"/>
              </w:rPr>
            </w:pPr>
          </w:p>
        </w:tc>
        <w:tc>
          <w:tcPr>
            <w:tcW w:w="1272" w:type="dxa"/>
            <w:gridSpan w:val="3"/>
            <w:vMerge w:val="continue"/>
            <w:tcBorders>
              <w:left w:val="single" w:color="000000" w:sz="4" w:space="0"/>
              <w:bottom w:val="single" w:color="000000" w:sz="4" w:space="0"/>
              <w:right w:val="single" w:color="000000" w:sz="4" w:space="0"/>
            </w:tcBorders>
            <w:vAlign w:val="center"/>
          </w:tcPr>
          <w:p>
            <w:pPr>
              <w:spacing w:line="0" w:lineRule="atLeast"/>
              <w:jc w:val="center"/>
              <w:rPr>
                <w:rFonts w:ascii="宋体" w:hAnsi="宋体"/>
                <w:color w:val="000000"/>
                <w:szCs w:val="21"/>
              </w:rPr>
            </w:pPr>
          </w:p>
        </w:tc>
        <w:tc>
          <w:tcPr>
            <w:tcW w:w="759" w:type="dxa"/>
            <w:vMerge w:val="continue"/>
            <w:tcBorders>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ascii="宋体" w:hAnsi="宋体"/>
                <w:color w:val="000000"/>
                <w:szCs w:val="21"/>
              </w:rPr>
            </w:pPr>
          </w:p>
        </w:tc>
        <w:tc>
          <w:tcPr>
            <w:tcW w:w="1844" w:type="dxa"/>
            <w:gridSpan w:val="3"/>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ascii="宋体" w:hAnsi="宋体" w:cs="宋体"/>
                <w:color w:val="000000"/>
                <w:szCs w:val="21"/>
              </w:rPr>
            </w:pPr>
            <w:r>
              <w:rPr>
                <w:rFonts w:hint="eastAsia" w:ascii="宋体" w:hAnsi="宋体" w:eastAsia="宋体" w:cs="宋体"/>
                <w:color w:val="000000"/>
                <w:sz w:val="21"/>
                <w:szCs w:val="21"/>
              </w:rPr>
              <w:t>资金使用合规性</w:t>
            </w:r>
          </w:p>
        </w:tc>
        <w:tc>
          <w:tcPr>
            <w:tcW w:w="781" w:type="dxa"/>
            <w:gridSpan w:val="2"/>
            <w:tcBorders>
              <w:top w:val="single" w:color="000000" w:sz="4" w:space="0"/>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ascii="宋体" w:hAnsi="宋体"/>
                <w:color w:val="000000"/>
                <w:szCs w:val="21"/>
              </w:rPr>
            </w:pPr>
            <w:r>
              <w:rPr>
                <w:rFonts w:hint="eastAsia" w:ascii="宋体" w:hAnsi="宋体"/>
                <w:color w:val="000000"/>
                <w:szCs w:val="21"/>
              </w:rPr>
              <w:t>5</w:t>
            </w:r>
          </w:p>
        </w:tc>
        <w:tc>
          <w:tcPr>
            <w:tcW w:w="1747" w:type="dxa"/>
            <w:gridSpan w:val="2"/>
            <w:tcBorders>
              <w:top w:val="single" w:color="000000" w:sz="4" w:space="0"/>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ascii="宋体" w:hAnsi="宋体"/>
                <w:color w:val="000000"/>
                <w:szCs w:val="21"/>
              </w:rPr>
            </w:pPr>
            <w:r>
              <w:rPr>
                <w:rFonts w:hint="eastAsia" w:ascii="宋体" w:hAnsi="宋体"/>
                <w:color w:val="000000"/>
                <w:szCs w:val="21"/>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2" w:hRule="atLeast"/>
        </w:trPr>
        <w:tc>
          <w:tcPr>
            <w:tcW w:w="1361" w:type="dxa"/>
            <w:gridSpan w:val="2"/>
            <w:vMerge w:val="continue"/>
            <w:tcBorders>
              <w:top w:val="single" w:color="000000" w:sz="4" w:space="0"/>
              <w:left w:val="single" w:color="000000" w:sz="4" w:space="0"/>
              <w:bottom w:val="single" w:color="000000" w:sz="4" w:space="0"/>
              <w:right w:val="single" w:color="000000" w:sz="4" w:space="0"/>
            </w:tcBorders>
            <w:vAlign w:val="center"/>
          </w:tcPr>
          <w:p>
            <w:pPr>
              <w:spacing w:line="300" w:lineRule="exact"/>
              <w:jc w:val="center"/>
              <w:rPr>
                <w:rFonts w:ascii="宋体" w:hAnsi="宋体"/>
                <w:szCs w:val="21"/>
              </w:rPr>
            </w:pPr>
          </w:p>
        </w:tc>
        <w:tc>
          <w:tcPr>
            <w:tcW w:w="916" w:type="dxa"/>
            <w:gridSpan w:val="2"/>
            <w:vMerge w:val="continue"/>
            <w:tcBorders>
              <w:left w:val="single" w:color="000000" w:sz="4" w:space="0"/>
              <w:right w:val="single" w:color="000000" w:sz="4" w:space="0"/>
            </w:tcBorders>
            <w:vAlign w:val="center"/>
          </w:tcPr>
          <w:p>
            <w:pPr>
              <w:spacing w:line="300" w:lineRule="exact"/>
              <w:jc w:val="center"/>
              <w:rPr>
                <w:rFonts w:ascii="宋体" w:hAnsi="宋体"/>
                <w:szCs w:val="21"/>
              </w:rPr>
            </w:pPr>
          </w:p>
        </w:tc>
        <w:tc>
          <w:tcPr>
            <w:tcW w:w="1272" w:type="dxa"/>
            <w:gridSpan w:val="3"/>
            <w:vMerge w:val="restart"/>
            <w:tcBorders>
              <w:top w:val="single" w:color="000000" w:sz="4" w:space="0"/>
              <w:left w:val="single" w:color="000000" w:sz="4" w:space="0"/>
              <w:right w:val="single" w:color="000000" w:sz="4" w:space="0"/>
            </w:tcBorders>
            <w:vAlign w:val="center"/>
          </w:tcPr>
          <w:p>
            <w:pPr>
              <w:spacing w:line="0" w:lineRule="atLeast"/>
              <w:jc w:val="center"/>
              <w:rPr>
                <w:rFonts w:ascii="宋体" w:hAnsi="宋体"/>
                <w:color w:val="000000"/>
                <w:szCs w:val="21"/>
              </w:rPr>
            </w:pPr>
            <w:r>
              <w:rPr>
                <w:rFonts w:hint="eastAsia" w:ascii="宋体" w:hAnsi="宋体" w:eastAsia="宋体"/>
                <w:color w:val="000000"/>
                <w:sz w:val="21"/>
                <w:szCs w:val="21"/>
              </w:rPr>
              <w:t>组织实施　</w:t>
            </w:r>
          </w:p>
        </w:tc>
        <w:tc>
          <w:tcPr>
            <w:tcW w:w="759" w:type="dxa"/>
            <w:vMerge w:val="restart"/>
            <w:tcBorders>
              <w:top w:val="single" w:color="000000" w:sz="4" w:space="0"/>
              <w:left w:val="single" w:color="000000" w:sz="4" w:space="0"/>
              <w:right w:val="single" w:color="000000" w:sz="4" w:space="0"/>
            </w:tcBorders>
            <w:vAlign w:val="center"/>
          </w:tcPr>
          <w:p>
            <w:pPr>
              <w:autoSpaceDN w:val="0"/>
              <w:spacing w:line="300" w:lineRule="exact"/>
              <w:jc w:val="center"/>
              <w:textAlignment w:val="center"/>
              <w:rPr>
                <w:rFonts w:ascii="宋体" w:hAnsi="宋体"/>
                <w:szCs w:val="21"/>
              </w:rPr>
            </w:pPr>
            <w:r>
              <w:rPr>
                <w:rFonts w:hint="eastAsia" w:ascii="宋体" w:hAnsi="宋体"/>
                <w:szCs w:val="21"/>
              </w:rPr>
              <w:t>10</w:t>
            </w:r>
          </w:p>
        </w:tc>
        <w:tc>
          <w:tcPr>
            <w:tcW w:w="1844" w:type="dxa"/>
            <w:gridSpan w:val="3"/>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ascii="宋体" w:hAnsi="宋体" w:cs="宋体"/>
                <w:color w:val="000000"/>
                <w:szCs w:val="21"/>
              </w:rPr>
            </w:pPr>
            <w:r>
              <w:rPr>
                <w:rFonts w:hint="eastAsia" w:ascii="宋体" w:hAnsi="宋体" w:eastAsia="宋体" w:cs="宋体"/>
                <w:color w:val="000000"/>
                <w:sz w:val="21"/>
                <w:szCs w:val="21"/>
              </w:rPr>
              <w:t>管理制度健全性</w:t>
            </w:r>
          </w:p>
        </w:tc>
        <w:tc>
          <w:tcPr>
            <w:tcW w:w="781" w:type="dxa"/>
            <w:gridSpan w:val="2"/>
            <w:tcBorders>
              <w:top w:val="single" w:color="000000" w:sz="4" w:space="0"/>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ascii="宋体" w:hAnsi="宋体"/>
                <w:color w:val="000000"/>
                <w:szCs w:val="21"/>
              </w:rPr>
            </w:pPr>
            <w:r>
              <w:rPr>
                <w:rFonts w:hint="eastAsia" w:ascii="宋体" w:hAnsi="宋体"/>
                <w:color w:val="000000"/>
                <w:szCs w:val="21"/>
              </w:rPr>
              <w:t>5</w:t>
            </w:r>
          </w:p>
        </w:tc>
        <w:tc>
          <w:tcPr>
            <w:tcW w:w="1747" w:type="dxa"/>
            <w:gridSpan w:val="2"/>
            <w:tcBorders>
              <w:top w:val="single" w:color="000000" w:sz="4" w:space="0"/>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ascii="宋体" w:hAnsi="宋体"/>
                <w:color w:val="000000"/>
                <w:szCs w:val="21"/>
              </w:rPr>
            </w:pPr>
            <w:r>
              <w:rPr>
                <w:rFonts w:hint="eastAsia" w:ascii="宋体" w:hAnsi="宋体"/>
                <w:color w:val="000000"/>
                <w:szCs w:val="21"/>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2" w:hRule="atLeast"/>
        </w:trPr>
        <w:tc>
          <w:tcPr>
            <w:tcW w:w="1361" w:type="dxa"/>
            <w:gridSpan w:val="2"/>
            <w:vMerge w:val="continue"/>
            <w:tcBorders>
              <w:top w:val="single" w:color="000000" w:sz="4" w:space="0"/>
              <w:left w:val="single" w:color="000000" w:sz="4" w:space="0"/>
              <w:bottom w:val="single" w:color="000000" w:sz="4" w:space="0"/>
              <w:right w:val="single" w:color="000000" w:sz="4" w:space="0"/>
            </w:tcBorders>
            <w:vAlign w:val="center"/>
          </w:tcPr>
          <w:p>
            <w:pPr>
              <w:spacing w:line="300" w:lineRule="exact"/>
              <w:jc w:val="center"/>
              <w:rPr>
                <w:rFonts w:ascii="宋体" w:hAnsi="宋体"/>
                <w:szCs w:val="21"/>
              </w:rPr>
            </w:pPr>
          </w:p>
        </w:tc>
        <w:tc>
          <w:tcPr>
            <w:tcW w:w="916" w:type="dxa"/>
            <w:gridSpan w:val="2"/>
            <w:vMerge w:val="continue"/>
            <w:tcBorders>
              <w:left w:val="single" w:color="000000" w:sz="4" w:space="0"/>
              <w:bottom w:val="single" w:color="000000" w:sz="4" w:space="0"/>
              <w:right w:val="single" w:color="000000" w:sz="4" w:space="0"/>
            </w:tcBorders>
            <w:vAlign w:val="center"/>
          </w:tcPr>
          <w:p>
            <w:pPr>
              <w:spacing w:line="300" w:lineRule="exact"/>
              <w:jc w:val="center"/>
              <w:rPr>
                <w:rFonts w:ascii="宋体" w:hAnsi="宋体"/>
                <w:szCs w:val="21"/>
              </w:rPr>
            </w:pPr>
          </w:p>
        </w:tc>
        <w:tc>
          <w:tcPr>
            <w:tcW w:w="1272" w:type="dxa"/>
            <w:gridSpan w:val="3"/>
            <w:vMerge w:val="continue"/>
            <w:tcBorders>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ascii="宋体" w:hAnsi="宋体"/>
                <w:color w:val="000000"/>
                <w:szCs w:val="21"/>
              </w:rPr>
            </w:pPr>
          </w:p>
        </w:tc>
        <w:tc>
          <w:tcPr>
            <w:tcW w:w="759" w:type="dxa"/>
            <w:vMerge w:val="continue"/>
            <w:tcBorders>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ascii="宋体" w:hAnsi="宋体"/>
                <w:color w:val="000000"/>
                <w:szCs w:val="21"/>
              </w:rPr>
            </w:pPr>
          </w:p>
        </w:tc>
        <w:tc>
          <w:tcPr>
            <w:tcW w:w="1844" w:type="dxa"/>
            <w:gridSpan w:val="3"/>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ascii="宋体" w:hAnsi="宋体" w:cs="宋体"/>
                <w:color w:val="000000"/>
                <w:szCs w:val="21"/>
              </w:rPr>
            </w:pPr>
            <w:r>
              <w:rPr>
                <w:rFonts w:hint="eastAsia" w:ascii="宋体" w:hAnsi="宋体" w:eastAsia="宋体" w:cs="宋体"/>
                <w:color w:val="000000"/>
                <w:sz w:val="21"/>
                <w:szCs w:val="21"/>
              </w:rPr>
              <w:t>制度执行有效性</w:t>
            </w:r>
          </w:p>
        </w:tc>
        <w:tc>
          <w:tcPr>
            <w:tcW w:w="781" w:type="dxa"/>
            <w:gridSpan w:val="2"/>
            <w:tcBorders>
              <w:top w:val="single" w:color="000000" w:sz="4" w:space="0"/>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ascii="宋体" w:hAnsi="宋体"/>
                <w:color w:val="000000"/>
                <w:szCs w:val="21"/>
              </w:rPr>
            </w:pPr>
            <w:r>
              <w:rPr>
                <w:rFonts w:hint="eastAsia" w:ascii="宋体" w:hAnsi="宋体"/>
                <w:color w:val="000000"/>
                <w:szCs w:val="21"/>
              </w:rPr>
              <w:t>5</w:t>
            </w:r>
          </w:p>
        </w:tc>
        <w:tc>
          <w:tcPr>
            <w:tcW w:w="1747" w:type="dxa"/>
            <w:gridSpan w:val="2"/>
            <w:tcBorders>
              <w:top w:val="single" w:color="000000" w:sz="4" w:space="0"/>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ascii="宋体" w:hAnsi="宋体"/>
                <w:color w:val="000000"/>
                <w:szCs w:val="21"/>
              </w:rPr>
            </w:pPr>
            <w:r>
              <w:rPr>
                <w:rFonts w:hint="eastAsia" w:ascii="宋体" w:hAnsi="宋体"/>
                <w:color w:val="000000"/>
                <w:szCs w:val="21"/>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4" w:hRule="atLeast"/>
        </w:trPr>
        <w:tc>
          <w:tcPr>
            <w:tcW w:w="1361" w:type="dxa"/>
            <w:gridSpan w:val="2"/>
            <w:vMerge w:val="restart"/>
            <w:tcBorders>
              <w:top w:val="single" w:color="000000" w:sz="4" w:space="0"/>
              <w:left w:val="single" w:color="000000" w:sz="4" w:space="0"/>
              <w:right w:val="single" w:color="000000" w:sz="4" w:space="0"/>
            </w:tcBorders>
            <w:vAlign w:val="center"/>
          </w:tcPr>
          <w:p>
            <w:pPr>
              <w:autoSpaceDN w:val="0"/>
              <w:spacing w:line="300" w:lineRule="exact"/>
              <w:jc w:val="center"/>
              <w:textAlignment w:val="center"/>
              <w:rPr>
                <w:rFonts w:ascii="宋体" w:hAnsi="宋体"/>
                <w:color w:val="000000"/>
                <w:szCs w:val="21"/>
              </w:rPr>
            </w:pPr>
            <w:r>
              <w:rPr>
                <w:rFonts w:hint="eastAsia" w:ascii="宋体" w:hAnsi="宋体" w:eastAsia="宋体"/>
                <w:color w:val="000000"/>
                <w:sz w:val="21"/>
                <w:szCs w:val="21"/>
              </w:rPr>
              <w:t>产出</w:t>
            </w:r>
          </w:p>
        </w:tc>
        <w:tc>
          <w:tcPr>
            <w:tcW w:w="916" w:type="dxa"/>
            <w:gridSpan w:val="2"/>
            <w:vMerge w:val="restart"/>
            <w:tcBorders>
              <w:top w:val="single" w:color="000000" w:sz="4" w:space="0"/>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ascii="宋体" w:hAnsi="宋体"/>
                <w:color w:val="000000"/>
                <w:szCs w:val="21"/>
              </w:rPr>
            </w:pPr>
            <w:r>
              <w:rPr>
                <w:rFonts w:hint="eastAsia" w:ascii="宋体" w:hAnsi="宋体" w:eastAsia="宋体"/>
                <w:color w:val="000000"/>
                <w:sz w:val="21"/>
                <w:szCs w:val="21"/>
              </w:rPr>
              <w:t>60</w:t>
            </w:r>
          </w:p>
        </w:tc>
        <w:tc>
          <w:tcPr>
            <w:tcW w:w="1272" w:type="dxa"/>
            <w:gridSpan w:val="3"/>
            <w:tcBorders>
              <w:top w:val="single" w:color="000000" w:sz="4" w:space="0"/>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ascii="宋体" w:hAnsi="宋体"/>
                <w:color w:val="000000"/>
                <w:szCs w:val="21"/>
              </w:rPr>
            </w:pPr>
            <w:r>
              <w:rPr>
                <w:rFonts w:hint="eastAsia" w:ascii="宋体" w:hAnsi="宋体" w:eastAsia="宋体"/>
                <w:color w:val="000000"/>
                <w:sz w:val="21"/>
                <w:szCs w:val="21"/>
              </w:rPr>
              <w:t>产出数量</w:t>
            </w:r>
          </w:p>
        </w:tc>
        <w:tc>
          <w:tcPr>
            <w:tcW w:w="759" w:type="dxa"/>
            <w:tcBorders>
              <w:top w:val="single" w:color="000000" w:sz="4" w:space="0"/>
              <w:left w:val="single" w:color="000000" w:sz="4" w:space="0"/>
              <w:right w:val="single" w:color="000000" w:sz="4" w:space="0"/>
            </w:tcBorders>
            <w:vAlign w:val="center"/>
          </w:tcPr>
          <w:p>
            <w:pPr>
              <w:autoSpaceDN w:val="0"/>
              <w:spacing w:line="300" w:lineRule="exact"/>
              <w:jc w:val="center"/>
              <w:textAlignment w:val="center"/>
              <w:rPr>
                <w:rFonts w:hint="default" w:ascii="宋体" w:hAnsi="宋体" w:eastAsia="微软雅黑"/>
                <w:color w:val="000000"/>
                <w:szCs w:val="21"/>
                <w:lang w:val="en-US" w:eastAsia="zh-CN"/>
              </w:rPr>
            </w:pPr>
            <w:r>
              <w:rPr>
                <w:rFonts w:hint="eastAsia" w:ascii="宋体" w:hAnsi="宋体"/>
                <w:color w:val="000000"/>
                <w:szCs w:val="21"/>
                <w:lang w:val="en-US" w:eastAsia="zh-CN"/>
              </w:rPr>
              <w:t>8</w:t>
            </w:r>
          </w:p>
        </w:tc>
        <w:tc>
          <w:tcPr>
            <w:tcW w:w="1844" w:type="dxa"/>
            <w:gridSpan w:val="3"/>
            <w:tcBorders>
              <w:top w:val="single" w:color="000000" w:sz="4" w:space="0"/>
              <w:left w:val="single" w:color="000000" w:sz="4" w:space="0"/>
              <w:right w:val="single" w:color="000000" w:sz="4" w:space="0"/>
            </w:tcBorders>
            <w:vAlign w:val="center"/>
          </w:tcPr>
          <w:p>
            <w:pPr>
              <w:spacing w:line="0" w:lineRule="atLeast"/>
              <w:jc w:val="center"/>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农村电影放映和送戏下乡场次</w:t>
            </w:r>
          </w:p>
        </w:tc>
        <w:tc>
          <w:tcPr>
            <w:tcW w:w="781" w:type="dxa"/>
            <w:gridSpan w:val="2"/>
            <w:tcBorders>
              <w:top w:val="single" w:color="000000" w:sz="4" w:space="0"/>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hint="eastAsia" w:ascii="宋体" w:hAnsi="宋体" w:eastAsia="微软雅黑"/>
                <w:color w:val="000000"/>
                <w:szCs w:val="21"/>
                <w:lang w:eastAsia="zh-CN"/>
              </w:rPr>
            </w:pPr>
            <w:r>
              <w:rPr>
                <w:rFonts w:hint="eastAsia" w:ascii="宋体" w:hAnsi="宋体"/>
                <w:color w:val="000000"/>
                <w:szCs w:val="21"/>
                <w:lang w:val="en-US" w:eastAsia="zh-CN"/>
              </w:rPr>
              <w:t>8</w:t>
            </w:r>
          </w:p>
        </w:tc>
        <w:tc>
          <w:tcPr>
            <w:tcW w:w="1747" w:type="dxa"/>
            <w:gridSpan w:val="2"/>
            <w:tcBorders>
              <w:top w:val="single" w:color="000000" w:sz="4" w:space="0"/>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hint="eastAsia" w:ascii="宋体" w:hAnsi="宋体" w:eastAsia="微软雅黑"/>
                <w:color w:val="000000"/>
                <w:szCs w:val="21"/>
                <w:lang w:eastAsia="zh-CN"/>
              </w:rPr>
            </w:pPr>
            <w:r>
              <w:rPr>
                <w:rFonts w:hint="eastAsia" w:ascii="宋体" w:hAnsi="宋体"/>
                <w:color w:val="000000"/>
                <w:szCs w:val="21"/>
                <w:lang w:val="en-US" w:eastAsia="zh-CN"/>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2" w:hRule="atLeast"/>
        </w:trPr>
        <w:tc>
          <w:tcPr>
            <w:tcW w:w="1361" w:type="dxa"/>
            <w:gridSpan w:val="2"/>
            <w:vMerge w:val="continue"/>
            <w:tcBorders>
              <w:left w:val="single" w:color="000000" w:sz="4" w:space="0"/>
              <w:right w:val="single" w:color="000000" w:sz="4" w:space="0"/>
            </w:tcBorders>
            <w:vAlign w:val="center"/>
          </w:tcPr>
          <w:p>
            <w:pPr>
              <w:spacing w:line="300" w:lineRule="exact"/>
              <w:jc w:val="center"/>
              <w:rPr>
                <w:rFonts w:ascii="宋体" w:hAnsi="宋体"/>
                <w:szCs w:val="21"/>
              </w:rPr>
            </w:pPr>
          </w:p>
        </w:tc>
        <w:tc>
          <w:tcPr>
            <w:tcW w:w="916" w:type="dxa"/>
            <w:gridSpan w:val="2"/>
            <w:vMerge w:val="continue"/>
            <w:tcBorders>
              <w:top w:val="single" w:color="000000" w:sz="4" w:space="0"/>
              <w:left w:val="single" w:color="000000" w:sz="4" w:space="0"/>
              <w:bottom w:val="single" w:color="000000" w:sz="4" w:space="0"/>
              <w:right w:val="single" w:color="000000" w:sz="4" w:space="0"/>
            </w:tcBorders>
            <w:vAlign w:val="center"/>
          </w:tcPr>
          <w:p>
            <w:pPr>
              <w:spacing w:line="300" w:lineRule="exact"/>
              <w:jc w:val="center"/>
              <w:rPr>
                <w:rFonts w:ascii="宋体" w:hAnsi="宋体"/>
                <w:szCs w:val="21"/>
              </w:rPr>
            </w:pPr>
          </w:p>
        </w:tc>
        <w:tc>
          <w:tcPr>
            <w:tcW w:w="1272" w:type="dxa"/>
            <w:gridSpan w:val="3"/>
            <w:tcBorders>
              <w:top w:val="single" w:color="000000" w:sz="4" w:space="0"/>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ascii="宋体" w:hAnsi="宋体"/>
                <w:color w:val="000000"/>
                <w:szCs w:val="21"/>
              </w:rPr>
            </w:pPr>
            <w:r>
              <w:rPr>
                <w:rFonts w:hint="eastAsia" w:ascii="宋体" w:hAnsi="宋体" w:eastAsia="宋体"/>
                <w:color w:val="000000"/>
                <w:sz w:val="21"/>
                <w:szCs w:val="21"/>
              </w:rPr>
              <w:t>产出质量</w:t>
            </w:r>
          </w:p>
        </w:tc>
        <w:tc>
          <w:tcPr>
            <w:tcW w:w="759" w:type="dxa"/>
            <w:tcBorders>
              <w:left w:val="single" w:color="000000" w:sz="4" w:space="0"/>
              <w:right w:val="single" w:color="000000" w:sz="4" w:space="0"/>
            </w:tcBorders>
            <w:vAlign w:val="center"/>
          </w:tcPr>
          <w:p>
            <w:pPr>
              <w:spacing w:line="300" w:lineRule="exact"/>
              <w:jc w:val="center"/>
              <w:rPr>
                <w:rFonts w:hint="eastAsia" w:ascii="宋体" w:hAnsi="宋体" w:eastAsia="微软雅黑"/>
                <w:szCs w:val="21"/>
                <w:lang w:val="en-US" w:eastAsia="zh-CN"/>
              </w:rPr>
            </w:pPr>
            <w:r>
              <w:rPr>
                <w:rFonts w:hint="eastAsia" w:ascii="宋体" w:hAnsi="宋体"/>
                <w:szCs w:val="21"/>
                <w:lang w:val="en-US" w:eastAsia="zh-CN"/>
              </w:rPr>
              <w:t>8</w:t>
            </w:r>
          </w:p>
        </w:tc>
        <w:tc>
          <w:tcPr>
            <w:tcW w:w="1844" w:type="dxa"/>
            <w:gridSpan w:val="3"/>
            <w:tcBorders>
              <w:left w:val="single" w:color="000000" w:sz="4" w:space="0"/>
              <w:right w:val="single" w:color="000000" w:sz="4" w:space="0"/>
            </w:tcBorders>
            <w:vAlign w:val="center"/>
          </w:tcPr>
          <w:p>
            <w:pPr>
              <w:spacing w:line="0" w:lineRule="atLeast"/>
              <w:jc w:val="center"/>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各项指标完成率</w:t>
            </w:r>
          </w:p>
        </w:tc>
        <w:tc>
          <w:tcPr>
            <w:tcW w:w="781" w:type="dxa"/>
            <w:gridSpan w:val="2"/>
            <w:tcBorders>
              <w:top w:val="single" w:color="000000" w:sz="4" w:space="0"/>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hint="eastAsia" w:ascii="宋体" w:hAnsi="宋体" w:eastAsia="微软雅黑"/>
                <w:color w:val="000000"/>
                <w:szCs w:val="21"/>
                <w:lang w:eastAsia="zh-CN"/>
              </w:rPr>
            </w:pPr>
            <w:r>
              <w:rPr>
                <w:rFonts w:hint="eastAsia" w:ascii="宋体" w:hAnsi="宋体"/>
                <w:color w:val="000000"/>
                <w:szCs w:val="21"/>
                <w:lang w:val="en-US" w:eastAsia="zh-CN"/>
              </w:rPr>
              <w:t>8</w:t>
            </w:r>
          </w:p>
        </w:tc>
        <w:tc>
          <w:tcPr>
            <w:tcW w:w="1747" w:type="dxa"/>
            <w:gridSpan w:val="2"/>
            <w:tcBorders>
              <w:top w:val="single" w:color="000000" w:sz="4" w:space="0"/>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hint="eastAsia" w:ascii="宋体" w:hAnsi="宋体" w:eastAsia="微软雅黑"/>
                <w:color w:val="000000"/>
                <w:szCs w:val="21"/>
                <w:lang w:eastAsia="zh-CN"/>
              </w:rPr>
            </w:pPr>
            <w:r>
              <w:rPr>
                <w:rFonts w:hint="eastAsia" w:ascii="宋体" w:hAnsi="宋体"/>
                <w:color w:val="000000"/>
                <w:szCs w:val="21"/>
                <w:lang w:val="en-US" w:eastAsia="zh-CN"/>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2" w:hRule="atLeast"/>
        </w:trPr>
        <w:tc>
          <w:tcPr>
            <w:tcW w:w="1361" w:type="dxa"/>
            <w:gridSpan w:val="2"/>
            <w:vMerge w:val="continue"/>
            <w:tcBorders>
              <w:left w:val="single" w:color="000000" w:sz="4" w:space="0"/>
              <w:right w:val="single" w:color="000000" w:sz="4" w:space="0"/>
            </w:tcBorders>
            <w:vAlign w:val="center"/>
          </w:tcPr>
          <w:p>
            <w:pPr>
              <w:spacing w:line="300" w:lineRule="exact"/>
              <w:jc w:val="center"/>
              <w:rPr>
                <w:rFonts w:ascii="宋体" w:hAnsi="宋体"/>
                <w:szCs w:val="21"/>
              </w:rPr>
            </w:pPr>
          </w:p>
        </w:tc>
        <w:tc>
          <w:tcPr>
            <w:tcW w:w="916" w:type="dxa"/>
            <w:gridSpan w:val="2"/>
            <w:vMerge w:val="continue"/>
            <w:tcBorders>
              <w:top w:val="single" w:color="000000" w:sz="4" w:space="0"/>
              <w:left w:val="single" w:color="000000" w:sz="4" w:space="0"/>
              <w:bottom w:val="single" w:color="000000" w:sz="4" w:space="0"/>
              <w:right w:val="single" w:color="000000" w:sz="4" w:space="0"/>
            </w:tcBorders>
            <w:vAlign w:val="center"/>
          </w:tcPr>
          <w:p>
            <w:pPr>
              <w:spacing w:line="300" w:lineRule="exact"/>
              <w:jc w:val="center"/>
              <w:rPr>
                <w:rFonts w:ascii="宋体" w:hAnsi="宋体"/>
                <w:szCs w:val="21"/>
              </w:rPr>
            </w:pPr>
          </w:p>
        </w:tc>
        <w:tc>
          <w:tcPr>
            <w:tcW w:w="1272" w:type="dxa"/>
            <w:gridSpan w:val="3"/>
            <w:tcBorders>
              <w:top w:val="single" w:color="000000" w:sz="4" w:space="0"/>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ascii="宋体" w:hAnsi="宋体"/>
                <w:color w:val="000000"/>
                <w:szCs w:val="21"/>
              </w:rPr>
            </w:pPr>
            <w:r>
              <w:rPr>
                <w:rFonts w:hint="eastAsia" w:ascii="宋体" w:hAnsi="宋体" w:eastAsia="宋体"/>
                <w:color w:val="000000"/>
                <w:sz w:val="21"/>
                <w:szCs w:val="21"/>
              </w:rPr>
              <w:t>产出时效</w:t>
            </w:r>
          </w:p>
        </w:tc>
        <w:tc>
          <w:tcPr>
            <w:tcW w:w="759" w:type="dxa"/>
            <w:tcBorders>
              <w:left w:val="single" w:color="000000" w:sz="4" w:space="0"/>
              <w:right w:val="single" w:color="000000" w:sz="4" w:space="0"/>
            </w:tcBorders>
            <w:vAlign w:val="center"/>
          </w:tcPr>
          <w:p>
            <w:pPr>
              <w:spacing w:line="300" w:lineRule="exact"/>
              <w:jc w:val="center"/>
              <w:rPr>
                <w:rFonts w:hint="eastAsia" w:ascii="宋体" w:hAnsi="宋体" w:eastAsia="微软雅黑"/>
                <w:szCs w:val="21"/>
                <w:lang w:val="en-US" w:eastAsia="zh-CN"/>
              </w:rPr>
            </w:pPr>
            <w:r>
              <w:rPr>
                <w:rFonts w:hint="eastAsia" w:ascii="宋体" w:hAnsi="宋体"/>
                <w:szCs w:val="21"/>
                <w:lang w:val="en-US" w:eastAsia="zh-CN"/>
              </w:rPr>
              <w:t>6</w:t>
            </w:r>
          </w:p>
        </w:tc>
        <w:tc>
          <w:tcPr>
            <w:tcW w:w="1844" w:type="dxa"/>
            <w:gridSpan w:val="3"/>
            <w:tcBorders>
              <w:left w:val="single" w:color="000000" w:sz="4" w:space="0"/>
              <w:right w:val="single" w:color="000000" w:sz="4" w:space="0"/>
            </w:tcBorders>
            <w:vAlign w:val="center"/>
          </w:tcPr>
          <w:p>
            <w:pPr>
              <w:spacing w:line="0" w:lineRule="atLeast"/>
              <w:jc w:val="center"/>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资金拨付及时率</w:t>
            </w:r>
          </w:p>
        </w:tc>
        <w:tc>
          <w:tcPr>
            <w:tcW w:w="781" w:type="dxa"/>
            <w:gridSpan w:val="2"/>
            <w:tcBorders>
              <w:top w:val="single" w:color="000000" w:sz="4" w:space="0"/>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hint="eastAsia" w:ascii="宋体" w:hAnsi="宋体" w:eastAsia="微软雅黑"/>
                <w:color w:val="000000"/>
                <w:szCs w:val="21"/>
                <w:lang w:eastAsia="zh-CN"/>
              </w:rPr>
            </w:pPr>
            <w:r>
              <w:rPr>
                <w:rFonts w:hint="eastAsia" w:ascii="宋体" w:hAnsi="宋体"/>
                <w:color w:val="000000"/>
                <w:szCs w:val="21"/>
                <w:lang w:val="en-US" w:eastAsia="zh-CN"/>
              </w:rPr>
              <w:t>6</w:t>
            </w:r>
          </w:p>
        </w:tc>
        <w:tc>
          <w:tcPr>
            <w:tcW w:w="1747" w:type="dxa"/>
            <w:gridSpan w:val="2"/>
            <w:tcBorders>
              <w:top w:val="single" w:color="000000" w:sz="4" w:space="0"/>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hint="eastAsia" w:ascii="宋体" w:hAnsi="宋体" w:eastAsia="微软雅黑"/>
                <w:color w:val="000000"/>
                <w:szCs w:val="21"/>
                <w:lang w:eastAsia="zh-CN"/>
              </w:rPr>
            </w:pPr>
            <w:r>
              <w:rPr>
                <w:rFonts w:hint="eastAsia" w:ascii="宋体" w:hAnsi="宋体"/>
                <w:color w:val="000000"/>
                <w:szCs w:val="21"/>
                <w:lang w:val="en-US" w:eastAsia="zh-CN"/>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2" w:hRule="atLeast"/>
        </w:trPr>
        <w:tc>
          <w:tcPr>
            <w:tcW w:w="1361" w:type="dxa"/>
            <w:gridSpan w:val="2"/>
            <w:vMerge w:val="continue"/>
            <w:tcBorders>
              <w:left w:val="single" w:color="000000" w:sz="4" w:space="0"/>
              <w:right w:val="single" w:color="000000" w:sz="4" w:space="0"/>
            </w:tcBorders>
            <w:vAlign w:val="center"/>
          </w:tcPr>
          <w:p>
            <w:pPr>
              <w:spacing w:line="300" w:lineRule="exact"/>
              <w:jc w:val="center"/>
              <w:rPr>
                <w:rFonts w:ascii="宋体" w:hAnsi="宋体"/>
                <w:szCs w:val="21"/>
              </w:rPr>
            </w:pPr>
          </w:p>
        </w:tc>
        <w:tc>
          <w:tcPr>
            <w:tcW w:w="916" w:type="dxa"/>
            <w:gridSpan w:val="2"/>
            <w:vMerge w:val="continue"/>
            <w:tcBorders>
              <w:top w:val="single" w:color="000000" w:sz="4" w:space="0"/>
              <w:left w:val="single" w:color="000000" w:sz="4" w:space="0"/>
              <w:bottom w:val="single" w:color="000000" w:sz="4" w:space="0"/>
              <w:right w:val="single" w:color="000000" w:sz="4" w:space="0"/>
            </w:tcBorders>
            <w:vAlign w:val="center"/>
          </w:tcPr>
          <w:p>
            <w:pPr>
              <w:spacing w:line="300" w:lineRule="exact"/>
              <w:jc w:val="center"/>
              <w:rPr>
                <w:rFonts w:ascii="宋体" w:hAnsi="宋体"/>
                <w:szCs w:val="21"/>
              </w:rPr>
            </w:pPr>
          </w:p>
        </w:tc>
        <w:tc>
          <w:tcPr>
            <w:tcW w:w="1272" w:type="dxa"/>
            <w:gridSpan w:val="3"/>
            <w:tcBorders>
              <w:top w:val="single" w:color="000000" w:sz="4" w:space="0"/>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ascii="宋体" w:hAnsi="宋体"/>
                <w:color w:val="000000"/>
                <w:szCs w:val="21"/>
              </w:rPr>
            </w:pPr>
            <w:r>
              <w:rPr>
                <w:rFonts w:hint="eastAsia" w:ascii="宋体" w:hAnsi="宋体" w:eastAsia="宋体"/>
                <w:color w:val="000000"/>
                <w:sz w:val="21"/>
                <w:szCs w:val="21"/>
              </w:rPr>
              <w:t>产出成本</w:t>
            </w:r>
          </w:p>
        </w:tc>
        <w:tc>
          <w:tcPr>
            <w:tcW w:w="759" w:type="dxa"/>
            <w:tcBorders>
              <w:left w:val="single" w:color="000000" w:sz="4" w:space="0"/>
              <w:right w:val="single" w:color="000000" w:sz="4" w:space="0"/>
            </w:tcBorders>
            <w:vAlign w:val="center"/>
          </w:tcPr>
          <w:p>
            <w:pPr>
              <w:spacing w:line="300" w:lineRule="exact"/>
              <w:jc w:val="center"/>
              <w:rPr>
                <w:rFonts w:hint="eastAsia" w:ascii="宋体" w:hAnsi="宋体" w:eastAsia="微软雅黑"/>
                <w:szCs w:val="21"/>
                <w:lang w:val="en-US" w:eastAsia="zh-CN"/>
              </w:rPr>
            </w:pPr>
            <w:r>
              <w:rPr>
                <w:rFonts w:hint="eastAsia" w:ascii="宋体" w:hAnsi="宋体"/>
                <w:szCs w:val="21"/>
                <w:lang w:val="en-US" w:eastAsia="zh-CN"/>
              </w:rPr>
              <w:t>8</w:t>
            </w:r>
          </w:p>
        </w:tc>
        <w:tc>
          <w:tcPr>
            <w:tcW w:w="1844" w:type="dxa"/>
            <w:gridSpan w:val="3"/>
            <w:tcBorders>
              <w:left w:val="single" w:color="000000" w:sz="4" w:space="0"/>
              <w:right w:val="single" w:color="000000" w:sz="4" w:space="0"/>
            </w:tcBorders>
            <w:vAlign w:val="center"/>
          </w:tcPr>
          <w:p>
            <w:pPr>
              <w:spacing w:line="0" w:lineRule="atLeast"/>
              <w:jc w:val="center"/>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成本节约率</w:t>
            </w:r>
          </w:p>
        </w:tc>
        <w:tc>
          <w:tcPr>
            <w:tcW w:w="781" w:type="dxa"/>
            <w:gridSpan w:val="2"/>
            <w:tcBorders>
              <w:top w:val="single" w:color="000000" w:sz="4" w:space="0"/>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ascii="宋体" w:hAnsi="宋体"/>
                <w:color w:val="000000"/>
                <w:szCs w:val="21"/>
              </w:rPr>
            </w:pPr>
            <w:r>
              <w:rPr>
                <w:rFonts w:hint="eastAsia" w:ascii="宋体" w:hAnsi="宋体"/>
                <w:color w:val="000000"/>
                <w:szCs w:val="21"/>
              </w:rPr>
              <w:t>8</w:t>
            </w:r>
          </w:p>
        </w:tc>
        <w:tc>
          <w:tcPr>
            <w:tcW w:w="1747" w:type="dxa"/>
            <w:gridSpan w:val="2"/>
            <w:tcBorders>
              <w:top w:val="single" w:color="000000" w:sz="4" w:space="0"/>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ascii="宋体" w:hAnsi="宋体"/>
                <w:color w:val="000000"/>
                <w:szCs w:val="21"/>
              </w:rPr>
            </w:pPr>
            <w:r>
              <w:rPr>
                <w:rFonts w:hint="eastAsia" w:ascii="宋体" w:hAnsi="宋体"/>
                <w:color w:val="000000"/>
                <w:szCs w:val="21"/>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2" w:hRule="atLeast"/>
        </w:trPr>
        <w:tc>
          <w:tcPr>
            <w:tcW w:w="1361" w:type="dxa"/>
            <w:gridSpan w:val="2"/>
            <w:vMerge w:val="restart"/>
            <w:tcBorders>
              <w:left w:val="single" w:color="000000" w:sz="4" w:space="0"/>
              <w:right w:val="single" w:color="000000" w:sz="4" w:space="0"/>
            </w:tcBorders>
            <w:vAlign w:val="center"/>
          </w:tcPr>
          <w:p>
            <w:pPr>
              <w:spacing w:line="300" w:lineRule="exact"/>
              <w:jc w:val="center"/>
              <w:rPr>
                <w:rFonts w:hint="eastAsia" w:ascii="宋体" w:hAnsi="宋体" w:eastAsia="微软雅黑"/>
                <w:szCs w:val="21"/>
                <w:lang w:eastAsia="zh-CN"/>
              </w:rPr>
            </w:pPr>
            <w:r>
              <w:rPr>
                <w:rFonts w:hint="eastAsia" w:ascii="宋体" w:hAnsi="宋体" w:eastAsia="宋体"/>
                <w:color w:val="000000"/>
                <w:sz w:val="21"/>
                <w:szCs w:val="21"/>
                <w:lang w:eastAsia="zh-CN"/>
              </w:rPr>
              <w:t>效益</w:t>
            </w:r>
          </w:p>
        </w:tc>
        <w:tc>
          <w:tcPr>
            <w:tcW w:w="916" w:type="dxa"/>
            <w:gridSpan w:val="2"/>
            <w:vMerge w:val="continue"/>
            <w:tcBorders>
              <w:top w:val="single" w:color="000000" w:sz="4" w:space="0"/>
              <w:left w:val="single" w:color="000000" w:sz="4" w:space="0"/>
              <w:bottom w:val="single" w:color="000000" w:sz="4" w:space="0"/>
              <w:right w:val="single" w:color="000000" w:sz="4" w:space="0"/>
            </w:tcBorders>
            <w:vAlign w:val="center"/>
          </w:tcPr>
          <w:p>
            <w:pPr>
              <w:spacing w:line="300" w:lineRule="exact"/>
              <w:jc w:val="center"/>
              <w:rPr>
                <w:rFonts w:ascii="宋体" w:hAnsi="宋体"/>
                <w:szCs w:val="21"/>
              </w:rPr>
            </w:pPr>
          </w:p>
        </w:tc>
        <w:tc>
          <w:tcPr>
            <w:tcW w:w="1272" w:type="dxa"/>
            <w:gridSpan w:val="3"/>
            <w:tcBorders>
              <w:top w:val="single" w:color="000000" w:sz="4" w:space="0"/>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ascii="宋体" w:hAnsi="宋体"/>
                <w:szCs w:val="21"/>
              </w:rPr>
            </w:pPr>
            <w:r>
              <w:rPr>
                <w:rFonts w:hint="eastAsia" w:ascii="宋体" w:hAnsi="宋体" w:eastAsia="宋体"/>
                <w:color w:val="000000"/>
                <w:sz w:val="21"/>
                <w:szCs w:val="21"/>
              </w:rPr>
              <w:t>社会效益</w:t>
            </w:r>
          </w:p>
        </w:tc>
        <w:tc>
          <w:tcPr>
            <w:tcW w:w="759" w:type="dxa"/>
            <w:tcBorders>
              <w:left w:val="single" w:color="000000" w:sz="4" w:space="0"/>
              <w:right w:val="single" w:color="000000" w:sz="4" w:space="0"/>
            </w:tcBorders>
            <w:vAlign w:val="center"/>
          </w:tcPr>
          <w:p>
            <w:pPr>
              <w:spacing w:line="300" w:lineRule="exact"/>
              <w:jc w:val="center"/>
              <w:rPr>
                <w:rFonts w:hint="default" w:ascii="宋体" w:hAnsi="宋体" w:eastAsia="微软雅黑"/>
                <w:szCs w:val="21"/>
                <w:lang w:val="en-US" w:eastAsia="zh-CN"/>
              </w:rPr>
            </w:pPr>
            <w:r>
              <w:rPr>
                <w:rFonts w:hint="eastAsia" w:ascii="宋体" w:hAnsi="宋体"/>
                <w:szCs w:val="21"/>
                <w:lang w:val="en-US" w:eastAsia="zh-CN"/>
              </w:rPr>
              <w:t>10</w:t>
            </w:r>
          </w:p>
        </w:tc>
        <w:tc>
          <w:tcPr>
            <w:tcW w:w="1844" w:type="dxa"/>
            <w:gridSpan w:val="3"/>
            <w:tcBorders>
              <w:left w:val="single" w:color="000000" w:sz="4" w:space="0"/>
              <w:right w:val="single" w:color="000000" w:sz="4" w:space="0"/>
            </w:tcBorders>
            <w:vAlign w:val="center"/>
          </w:tcPr>
          <w:p>
            <w:pPr>
              <w:spacing w:line="0" w:lineRule="atLeast"/>
              <w:jc w:val="center"/>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提升文化软实力</w:t>
            </w:r>
          </w:p>
        </w:tc>
        <w:tc>
          <w:tcPr>
            <w:tcW w:w="781" w:type="dxa"/>
            <w:gridSpan w:val="2"/>
            <w:tcBorders>
              <w:top w:val="single" w:color="000000" w:sz="4" w:space="0"/>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hint="default" w:ascii="宋体" w:hAnsi="宋体" w:eastAsia="微软雅黑"/>
                <w:color w:val="000000"/>
                <w:szCs w:val="21"/>
                <w:lang w:val="en-US" w:eastAsia="zh-CN"/>
              </w:rPr>
            </w:pPr>
            <w:r>
              <w:rPr>
                <w:rFonts w:hint="eastAsia" w:ascii="宋体" w:hAnsi="宋体"/>
                <w:color w:val="000000"/>
                <w:szCs w:val="21"/>
                <w:lang w:val="en-US" w:eastAsia="zh-CN"/>
              </w:rPr>
              <w:t>10</w:t>
            </w:r>
          </w:p>
        </w:tc>
        <w:tc>
          <w:tcPr>
            <w:tcW w:w="1747" w:type="dxa"/>
            <w:gridSpan w:val="2"/>
            <w:tcBorders>
              <w:top w:val="single" w:color="000000" w:sz="4" w:space="0"/>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hint="eastAsia" w:ascii="宋体" w:hAnsi="宋体" w:eastAsia="微软雅黑"/>
                <w:color w:val="000000"/>
                <w:szCs w:val="21"/>
                <w:lang w:eastAsia="zh-CN"/>
              </w:rPr>
            </w:pPr>
            <w:r>
              <w:rPr>
                <w:rFonts w:hint="eastAsia" w:ascii="宋体" w:hAnsi="宋体"/>
                <w:color w:val="000000"/>
                <w:szCs w:val="21"/>
                <w:lang w:val="en-US" w:eastAsia="zh-CN"/>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2" w:hRule="atLeast"/>
        </w:trPr>
        <w:tc>
          <w:tcPr>
            <w:tcW w:w="1361" w:type="dxa"/>
            <w:gridSpan w:val="2"/>
            <w:vMerge w:val="continue"/>
            <w:tcBorders>
              <w:left w:val="single" w:color="000000" w:sz="4" w:space="0"/>
              <w:right w:val="single" w:color="000000" w:sz="4" w:space="0"/>
            </w:tcBorders>
            <w:vAlign w:val="center"/>
          </w:tcPr>
          <w:p>
            <w:pPr>
              <w:spacing w:line="300" w:lineRule="exact"/>
              <w:jc w:val="center"/>
              <w:rPr>
                <w:rFonts w:ascii="宋体" w:hAnsi="宋体"/>
                <w:szCs w:val="21"/>
              </w:rPr>
            </w:pPr>
          </w:p>
        </w:tc>
        <w:tc>
          <w:tcPr>
            <w:tcW w:w="916" w:type="dxa"/>
            <w:gridSpan w:val="2"/>
            <w:vMerge w:val="continue"/>
            <w:tcBorders>
              <w:top w:val="single" w:color="000000" w:sz="4" w:space="0"/>
              <w:left w:val="single" w:color="000000" w:sz="4" w:space="0"/>
              <w:bottom w:val="single" w:color="000000" w:sz="4" w:space="0"/>
              <w:right w:val="single" w:color="000000" w:sz="4" w:space="0"/>
            </w:tcBorders>
            <w:vAlign w:val="center"/>
          </w:tcPr>
          <w:p>
            <w:pPr>
              <w:spacing w:line="300" w:lineRule="exact"/>
              <w:jc w:val="center"/>
              <w:rPr>
                <w:rFonts w:ascii="宋体" w:hAnsi="宋体"/>
                <w:szCs w:val="21"/>
              </w:rPr>
            </w:pPr>
          </w:p>
        </w:tc>
        <w:tc>
          <w:tcPr>
            <w:tcW w:w="1272" w:type="dxa"/>
            <w:gridSpan w:val="3"/>
            <w:tcBorders>
              <w:top w:val="single" w:color="000000" w:sz="4" w:space="0"/>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ascii="宋体" w:hAnsi="宋体"/>
                <w:szCs w:val="21"/>
              </w:rPr>
            </w:pPr>
            <w:r>
              <w:rPr>
                <w:rFonts w:hint="eastAsia" w:ascii="宋体" w:hAnsi="宋体" w:eastAsia="宋体"/>
                <w:color w:val="000000"/>
                <w:sz w:val="21"/>
                <w:szCs w:val="21"/>
              </w:rPr>
              <w:t>可持续影响</w:t>
            </w:r>
          </w:p>
        </w:tc>
        <w:tc>
          <w:tcPr>
            <w:tcW w:w="759" w:type="dxa"/>
            <w:tcBorders>
              <w:left w:val="single" w:color="000000" w:sz="4" w:space="0"/>
              <w:bottom w:val="single" w:color="000000" w:sz="4" w:space="0"/>
              <w:right w:val="single" w:color="000000" w:sz="4" w:space="0"/>
            </w:tcBorders>
            <w:vAlign w:val="center"/>
          </w:tcPr>
          <w:p>
            <w:pPr>
              <w:spacing w:line="0" w:lineRule="atLeast"/>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2"/>
                <w:szCs w:val="22"/>
                <w:lang w:val="en-US" w:eastAsia="zh-CN"/>
              </w:rPr>
              <w:t>10</w:t>
            </w:r>
          </w:p>
        </w:tc>
        <w:tc>
          <w:tcPr>
            <w:tcW w:w="1844" w:type="dxa"/>
            <w:gridSpan w:val="3"/>
            <w:tcBorders>
              <w:left w:val="single" w:color="000000" w:sz="4" w:space="0"/>
              <w:bottom w:val="single" w:color="000000" w:sz="4" w:space="0"/>
              <w:right w:val="single" w:color="000000" w:sz="4" w:space="0"/>
            </w:tcBorders>
            <w:vAlign w:val="center"/>
          </w:tcPr>
          <w:p>
            <w:pPr>
              <w:spacing w:line="0" w:lineRule="atLeast"/>
              <w:jc w:val="center"/>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促进经济社会可持续发展</w:t>
            </w:r>
          </w:p>
        </w:tc>
        <w:tc>
          <w:tcPr>
            <w:tcW w:w="781" w:type="dxa"/>
            <w:gridSpan w:val="2"/>
            <w:tcBorders>
              <w:top w:val="single" w:color="000000" w:sz="4" w:space="0"/>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hint="default" w:ascii="宋体" w:hAnsi="宋体" w:eastAsia="微软雅黑"/>
                <w:color w:val="000000"/>
                <w:szCs w:val="21"/>
                <w:lang w:val="en-US" w:eastAsia="zh-CN"/>
              </w:rPr>
            </w:pPr>
            <w:r>
              <w:rPr>
                <w:rFonts w:hint="eastAsia" w:ascii="宋体" w:hAnsi="宋体"/>
                <w:color w:val="000000"/>
                <w:szCs w:val="21"/>
                <w:lang w:val="en-US" w:eastAsia="zh-CN"/>
              </w:rPr>
              <w:t>10</w:t>
            </w:r>
          </w:p>
        </w:tc>
        <w:tc>
          <w:tcPr>
            <w:tcW w:w="1747" w:type="dxa"/>
            <w:gridSpan w:val="2"/>
            <w:tcBorders>
              <w:top w:val="single" w:color="000000" w:sz="4" w:space="0"/>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hint="eastAsia" w:ascii="宋体" w:hAnsi="宋体" w:eastAsia="微软雅黑"/>
                <w:color w:val="000000"/>
                <w:szCs w:val="21"/>
                <w:lang w:eastAsia="zh-CN"/>
              </w:rPr>
            </w:pPr>
            <w:r>
              <w:rPr>
                <w:rFonts w:hint="eastAsia" w:ascii="宋体" w:hAnsi="宋体"/>
                <w:color w:val="000000"/>
                <w:szCs w:val="21"/>
                <w:lang w:val="en-US" w:eastAsia="zh-CN"/>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1361" w:type="dxa"/>
            <w:gridSpan w:val="2"/>
            <w:vMerge w:val="continue"/>
            <w:tcBorders>
              <w:left w:val="single" w:color="000000" w:sz="4" w:space="0"/>
              <w:bottom w:val="single" w:color="000000" w:sz="4" w:space="0"/>
              <w:right w:val="single" w:color="000000" w:sz="4" w:space="0"/>
            </w:tcBorders>
            <w:vAlign w:val="center"/>
          </w:tcPr>
          <w:p>
            <w:pPr>
              <w:spacing w:line="300" w:lineRule="exact"/>
              <w:jc w:val="center"/>
              <w:rPr>
                <w:rFonts w:ascii="宋体" w:hAnsi="宋体"/>
                <w:szCs w:val="21"/>
              </w:rPr>
            </w:pPr>
          </w:p>
        </w:tc>
        <w:tc>
          <w:tcPr>
            <w:tcW w:w="916" w:type="dxa"/>
            <w:gridSpan w:val="2"/>
            <w:vMerge w:val="continue"/>
            <w:tcBorders>
              <w:top w:val="single" w:color="000000" w:sz="4" w:space="0"/>
              <w:left w:val="single" w:color="000000" w:sz="4" w:space="0"/>
              <w:bottom w:val="single" w:color="000000" w:sz="4" w:space="0"/>
              <w:right w:val="single" w:color="000000" w:sz="4" w:space="0"/>
            </w:tcBorders>
            <w:vAlign w:val="center"/>
          </w:tcPr>
          <w:p>
            <w:pPr>
              <w:spacing w:line="300" w:lineRule="exact"/>
              <w:jc w:val="center"/>
              <w:rPr>
                <w:rFonts w:ascii="宋体" w:hAnsi="宋体"/>
                <w:szCs w:val="21"/>
              </w:rPr>
            </w:pPr>
          </w:p>
        </w:tc>
        <w:tc>
          <w:tcPr>
            <w:tcW w:w="1272" w:type="dxa"/>
            <w:gridSpan w:val="3"/>
            <w:tcBorders>
              <w:top w:val="single" w:color="000000" w:sz="4" w:space="0"/>
              <w:left w:val="single" w:color="000000" w:sz="4" w:space="0"/>
              <w:bottom w:val="single" w:color="000000" w:sz="4" w:space="0"/>
              <w:right w:val="single" w:color="000000" w:sz="4" w:space="0"/>
            </w:tcBorders>
            <w:vAlign w:val="center"/>
          </w:tcPr>
          <w:p>
            <w:pPr>
              <w:autoSpaceDN w:val="0"/>
              <w:spacing w:line="280" w:lineRule="exact"/>
              <w:jc w:val="center"/>
              <w:textAlignment w:val="center"/>
              <w:rPr>
                <w:rFonts w:ascii="宋体" w:hAnsi="宋体"/>
                <w:szCs w:val="21"/>
              </w:rPr>
            </w:pPr>
            <w:r>
              <w:rPr>
                <w:rFonts w:hint="eastAsia" w:ascii="宋体" w:hAnsi="宋体" w:eastAsia="宋体"/>
                <w:color w:val="000000"/>
                <w:sz w:val="21"/>
                <w:szCs w:val="21"/>
              </w:rPr>
              <w:t>满意度</w:t>
            </w:r>
          </w:p>
        </w:tc>
        <w:tc>
          <w:tcPr>
            <w:tcW w:w="759" w:type="dxa"/>
            <w:tcBorders>
              <w:top w:val="single" w:color="000000" w:sz="4" w:space="0"/>
              <w:left w:val="single" w:color="000000" w:sz="4" w:space="0"/>
              <w:bottom w:val="single" w:color="000000" w:sz="4" w:space="0"/>
              <w:right w:val="single" w:color="000000" w:sz="4" w:space="0"/>
            </w:tcBorders>
            <w:vAlign w:val="center"/>
          </w:tcPr>
          <w:p>
            <w:pPr>
              <w:spacing w:line="280" w:lineRule="exact"/>
              <w:jc w:val="center"/>
              <w:rPr>
                <w:rFonts w:hint="default" w:ascii="宋体" w:hAnsi="宋体" w:eastAsia="微软雅黑"/>
                <w:szCs w:val="21"/>
                <w:lang w:val="en-US" w:eastAsia="zh-CN"/>
              </w:rPr>
            </w:pPr>
            <w:r>
              <w:rPr>
                <w:rFonts w:hint="eastAsia" w:ascii="宋体" w:hAnsi="宋体"/>
                <w:szCs w:val="21"/>
                <w:lang w:val="en-US" w:eastAsia="zh-CN"/>
              </w:rPr>
              <w:t>10</w:t>
            </w:r>
          </w:p>
        </w:tc>
        <w:tc>
          <w:tcPr>
            <w:tcW w:w="1844" w:type="dxa"/>
            <w:gridSpan w:val="3"/>
            <w:tcBorders>
              <w:top w:val="single" w:color="000000" w:sz="4" w:space="0"/>
              <w:left w:val="single" w:color="000000" w:sz="4" w:space="0"/>
              <w:bottom w:val="single" w:color="000000" w:sz="4" w:space="0"/>
              <w:right w:val="single" w:color="000000" w:sz="4" w:space="0"/>
            </w:tcBorders>
            <w:vAlign w:val="center"/>
          </w:tcPr>
          <w:p>
            <w:pPr>
              <w:autoSpaceDN w:val="0"/>
              <w:spacing w:line="280" w:lineRule="exact"/>
              <w:jc w:val="center"/>
              <w:textAlignment w:val="center"/>
              <w:rPr>
                <w:rFonts w:ascii="宋体" w:hAnsi="宋体"/>
                <w:color w:val="000000"/>
                <w:szCs w:val="21"/>
              </w:rPr>
            </w:pPr>
            <w:r>
              <w:rPr>
                <w:rFonts w:hint="eastAsia" w:ascii="宋体" w:hAnsi="宋体" w:eastAsia="宋体"/>
                <w:color w:val="000000"/>
                <w:sz w:val="21"/>
                <w:szCs w:val="21"/>
              </w:rPr>
              <w:t>社会公众或服务对象满意度</w:t>
            </w:r>
          </w:p>
        </w:tc>
        <w:tc>
          <w:tcPr>
            <w:tcW w:w="781" w:type="dxa"/>
            <w:gridSpan w:val="2"/>
            <w:tcBorders>
              <w:top w:val="single" w:color="000000" w:sz="4" w:space="0"/>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ascii="宋体" w:hAnsi="宋体"/>
                <w:color w:val="000000"/>
                <w:szCs w:val="21"/>
              </w:rPr>
            </w:pPr>
            <w:r>
              <w:rPr>
                <w:rFonts w:hint="eastAsia" w:ascii="宋体" w:hAnsi="宋体"/>
                <w:color w:val="000000"/>
                <w:szCs w:val="21"/>
              </w:rPr>
              <w:t>10</w:t>
            </w:r>
          </w:p>
        </w:tc>
        <w:tc>
          <w:tcPr>
            <w:tcW w:w="1747" w:type="dxa"/>
            <w:gridSpan w:val="2"/>
            <w:tcBorders>
              <w:top w:val="single" w:color="000000" w:sz="4" w:space="0"/>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ascii="宋体" w:hAnsi="宋体"/>
                <w:color w:val="000000"/>
                <w:szCs w:val="21"/>
              </w:rPr>
            </w:pPr>
            <w:r>
              <w:rPr>
                <w:rFonts w:hint="eastAsia" w:ascii="宋体" w:hAnsi="宋体"/>
                <w:color w:val="000000"/>
                <w:szCs w:val="21"/>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2" w:hRule="atLeast"/>
        </w:trPr>
        <w:tc>
          <w:tcPr>
            <w:tcW w:w="1361" w:type="dxa"/>
            <w:gridSpan w:val="2"/>
            <w:tcBorders>
              <w:top w:val="single" w:color="000000" w:sz="4" w:space="0"/>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ascii="宋体" w:hAnsi="宋体"/>
                <w:bCs/>
                <w:color w:val="000000"/>
                <w:szCs w:val="21"/>
              </w:rPr>
            </w:pPr>
            <w:r>
              <w:rPr>
                <w:rFonts w:hint="eastAsia" w:ascii="宋体" w:hAnsi="宋体" w:eastAsia="宋体"/>
                <w:bCs/>
                <w:color w:val="000000"/>
                <w:sz w:val="21"/>
                <w:szCs w:val="21"/>
              </w:rPr>
              <w:t>总分</w:t>
            </w:r>
          </w:p>
        </w:tc>
        <w:tc>
          <w:tcPr>
            <w:tcW w:w="916" w:type="dxa"/>
            <w:gridSpan w:val="2"/>
            <w:tcBorders>
              <w:top w:val="single" w:color="000000" w:sz="4" w:space="0"/>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ascii="宋体" w:hAnsi="宋体"/>
                <w:bCs/>
                <w:color w:val="000000"/>
                <w:szCs w:val="21"/>
              </w:rPr>
            </w:pPr>
            <w:r>
              <w:rPr>
                <w:rFonts w:hint="eastAsia" w:ascii="宋体" w:hAnsi="宋体" w:eastAsia="宋体"/>
                <w:bCs/>
                <w:color w:val="000000"/>
                <w:sz w:val="21"/>
                <w:szCs w:val="21"/>
              </w:rPr>
              <w:t>100</w:t>
            </w:r>
          </w:p>
        </w:tc>
        <w:tc>
          <w:tcPr>
            <w:tcW w:w="1272" w:type="dxa"/>
            <w:gridSpan w:val="3"/>
            <w:tcBorders>
              <w:top w:val="single" w:color="000000" w:sz="4" w:space="0"/>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ascii="宋体" w:hAnsi="宋体"/>
                <w:bCs/>
                <w:color w:val="000000"/>
                <w:szCs w:val="21"/>
              </w:rPr>
            </w:pPr>
          </w:p>
        </w:tc>
        <w:tc>
          <w:tcPr>
            <w:tcW w:w="759" w:type="dxa"/>
            <w:tcBorders>
              <w:top w:val="single" w:color="000000" w:sz="4" w:space="0"/>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ascii="宋体" w:hAnsi="宋体"/>
                <w:bCs/>
                <w:color w:val="000000"/>
                <w:szCs w:val="21"/>
              </w:rPr>
            </w:pPr>
            <w:r>
              <w:rPr>
                <w:rFonts w:hint="eastAsia" w:ascii="宋体" w:hAnsi="宋体" w:eastAsia="宋体"/>
                <w:bCs/>
                <w:color w:val="000000"/>
                <w:sz w:val="21"/>
                <w:szCs w:val="21"/>
              </w:rPr>
              <w:t>100</w:t>
            </w:r>
          </w:p>
        </w:tc>
        <w:tc>
          <w:tcPr>
            <w:tcW w:w="1844" w:type="dxa"/>
            <w:gridSpan w:val="3"/>
            <w:tcBorders>
              <w:top w:val="single" w:color="000000" w:sz="4" w:space="0"/>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ascii="宋体" w:hAnsi="宋体"/>
                <w:bCs/>
                <w:color w:val="000000"/>
                <w:szCs w:val="21"/>
              </w:rPr>
            </w:pPr>
          </w:p>
        </w:tc>
        <w:tc>
          <w:tcPr>
            <w:tcW w:w="781" w:type="dxa"/>
            <w:gridSpan w:val="2"/>
            <w:tcBorders>
              <w:top w:val="single" w:color="000000" w:sz="4" w:space="0"/>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ascii="宋体" w:hAnsi="宋体"/>
                <w:bCs/>
                <w:color w:val="000000"/>
                <w:szCs w:val="21"/>
              </w:rPr>
            </w:pPr>
            <w:r>
              <w:rPr>
                <w:rFonts w:hint="eastAsia" w:ascii="宋体" w:hAnsi="宋体" w:eastAsia="宋体"/>
                <w:bCs/>
                <w:color w:val="000000"/>
                <w:sz w:val="21"/>
                <w:szCs w:val="21"/>
              </w:rPr>
              <w:t>100</w:t>
            </w:r>
          </w:p>
        </w:tc>
        <w:tc>
          <w:tcPr>
            <w:tcW w:w="1747" w:type="dxa"/>
            <w:gridSpan w:val="2"/>
            <w:tcBorders>
              <w:top w:val="single" w:color="000000" w:sz="4" w:space="0"/>
              <w:left w:val="single" w:color="000000" w:sz="4" w:space="0"/>
              <w:bottom w:val="single" w:color="000000" w:sz="4" w:space="0"/>
              <w:right w:val="single" w:color="000000" w:sz="4" w:space="0"/>
            </w:tcBorders>
            <w:vAlign w:val="center"/>
          </w:tcPr>
          <w:p>
            <w:pPr>
              <w:autoSpaceDN w:val="0"/>
              <w:spacing w:line="300" w:lineRule="exact"/>
              <w:jc w:val="center"/>
              <w:textAlignment w:val="center"/>
              <w:rPr>
                <w:rFonts w:hint="eastAsia" w:ascii="宋体" w:hAnsi="宋体" w:eastAsia="微软雅黑"/>
                <w:bCs/>
                <w:color w:val="000000"/>
                <w:szCs w:val="21"/>
                <w:lang w:val="en-US" w:eastAsia="zh-CN"/>
              </w:rPr>
            </w:pPr>
            <w:r>
              <w:rPr>
                <w:rFonts w:hint="eastAsia" w:ascii="宋体" w:hAnsi="宋体"/>
                <w:bCs/>
                <w:color w:val="000000"/>
                <w:szCs w:val="21"/>
              </w:rPr>
              <w:t>9</w:t>
            </w:r>
            <w:r>
              <w:rPr>
                <w:rFonts w:hint="eastAsia" w:ascii="宋体" w:hAnsi="宋体"/>
                <w:bCs/>
                <w:color w:val="000000"/>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 w:hRule="atLeast"/>
        </w:trPr>
        <w:tc>
          <w:tcPr>
            <w:tcW w:w="1344" w:type="dxa"/>
            <w:vMerge w:val="restart"/>
            <w:vAlign w:val="center"/>
          </w:tcPr>
          <w:p>
            <w:pPr>
              <w:spacing w:line="300" w:lineRule="exact"/>
              <w:jc w:val="center"/>
              <w:rPr>
                <w:rFonts w:ascii="宋体" w:hAnsi="宋体"/>
                <w:szCs w:val="21"/>
              </w:rPr>
            </w:pPr>
            <w:r>
              <w:rPr>
                <w:rFonts w:hint="eastAsia" w:ascii="宋体" w:hAnsi="宋体" w:eastAsia="宋体"/>
                <w:sz w:val="21"/>
                <w:szCs w:val="21"/>
              </w:rPr>
              <w:t>评价等次</w:t>
            </w:r>
          </w:p>
        </w:tc>
        <w:tc>
          <w:tcPr>
            <w:tcW w:w="7336" w:type="dxa"/>
            <w:gridSpan w:val="14"/>
            <w:vAlign w:val="center"/>
          </w:tcPr>
          <w:p>
            <w:pPr>
              <w:spacing w:line="300" w:lineRule="exact"/>
              <w:jc w:val="center"/>
              <w:rPr>
                <w:rFonts w:ascii="宋体" w:hAnsi="宋体"/>
                <w:szCs w:val="21"/>
              </w:rPr>
            </w:pPr>
            <w:r>
              <w:rPr>
                <w:rFonts w:hint="eastAsia" w:ascii="宋体" w:hAnsi="宋体" w:eastAsia="宋体" w:cs="宋体"/>
                <w:color w:val="000000"/>
                <w:sz w:val="21"/>
                <w:szCs w:val="21"/>
              </w:rPr>
              <w:t>优√        良□       中 □       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1344" w:type="dxa"/>
            <w:vMerge w:val="continue"/>
            <w:vAlign w:val="center"/>
          </w:tcPr>
          <w:p>
            <w:pPr>
              <w:spacing w:line="300" w:lineRule="exact"/>
              <w:jc w:val="center"/>
              <w:rPr>
                <w:rFonts w:ascii="宋体" w:hAnsi="宋体"/>
                <w:szCs w:val="21"/>
              </w:rPr>
            </w:pPr>
          </w:p>
        </w:tc>
        <w:tc>
          <w:tcPr>
            <w:tcW w:w="7336" w:type="dxa"/>
            <w:gridSpan w:val="14"/>
          </w:tcPr>
          <w:p>
            <w:pPr>
              <w:spacing w:line="260" w:lineRule="exact"/>
              <w:rPr>
                <w:rFonts w:ascii="宋体" w:hAnsi="宋体" w:cs="宋体"/>
                <w:color w:val="000000"/>
                <w:szCs w:val="21"/>
              </w:rPr>
            </w:pPr>
            <w:r>
              <w:rPr>
                <w:rFonts w:hint="eastAsia" w:ascii="宋体" w:hAnsi="宋体" w:eastAsia="宋体" w:cs="宋体"/>
                <w:color w:val="000000"/>
                <w:sz w:val="21"/>
                <w:szCs w:val="21"/>
              </w:rPr>
              <w:t>100-90（含）分为优、90-80（含）分为良、80-60（含）分为中、60分以下为差</w:t>
            </w:r>
          </w:p>
        </w:tc>
      </w:tr>
    </w:tbl>
    <w:p>
      <w:pPr>
        <w:spacing w:line="200" w:lineRule="exact"/>
        <w:jc w:val="center"/>
        <w:rPr>
          <w:rFonts w:ascii="方正小标宋简体" w:hAnsi="方正小标宋简体" w:eastAsia="方正小标宋简体" w:cs="方正小标宋简体"/>
          <w:bCs/>
          <w:sz w:val="44"/>
          <w:szCs w:val="44"/>
        </w:rPr>
      </w:pPr>
    </w:p>
    <w:p>
      <w:pPr>
        <w:rPr>
          <w:rFonts w:ascii="仿宋_GB2312" w:eastAsia="仿宋_GB2312"/>
          <w:sz w:val="32"/>
          <w:szCs w:val="32"/>
        </w:rPr>
      </w:pPr>
      <w:r>
        <w:rPr>
          <w:rFonts w:hint="eastAsia" w:ascii="仿宋" w:hAnsi="仿宋" w:eastAsia="仿宋" w:cs="仿宋"/>
          <w:sz w:val="21"/>
          <w:szCs w:val="24"/>
        </w:rPr>
        <w:t>注：指标可参考财政部《项目支出绩效评价管理办法》中附件2：《项目支出绩效评价指标体系框架》设置。</w:t>
      </w:r>
    </w:p>
    <w:p/>
    <w:p>
      <w:pPr>
        <w:spacing w:line="220" w:lineRule="atLeast"/>
      </w:pPr>
    </w:p>
    <w:sectPr>
      <w:pgSz w:w="11906" w:h="16838"/>
      <w:pgMar w:top="1440" w:right="1800" w:bottom="1440" w:left="1800" w:header="851" w:footer="992" w:gutter="0"/>
      <w:cols w:space="708"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2"/>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720"/>
  <w:characterSpacingControl w:val="doNotCompress"/>
  <w:footnotePr>
    <w:footnote w:id="0"/>
    <w:footnote w:id="1"/>
  </w:footnotePr>
  <w:endnotePr>
    <w:endnote w:id="0"/>
    <w:endnote w:id="1"/>
  </w:endnotePr>
  <w:compat>
    <w:useFELayout/>
    <w:compatSetting w:name="compatibilityMode" w:uri="http://schemas.microsoft.com/office/word" w:val="12"/>
  </w:compat>
  <w:docVars>
    <w:docVar w:name="commondata" w:val="eyJoZGlkIjoiMjdiNGQ1ODQ0ODI3NDIxYjFjZjEzYTRkNGZiZGYxMWIifQ=="/>
  </w:docVars>
  <w:rsids>
    <w:rsidRoot w:val="00D31D50"/>
    <w:rsid w:val="00001DC0"/>
    <w:rsid w:val="00046500"/>
    <w:rsid w:val="002C447D"/>
    <w:rsid w:val="003007C4"/>
    <w:rsid w:val="00323B43"/>
    <w:rsid w:val="003D37D8"/>
    <w:rsid w:val="003F00A6"/>
    <w:rsid w:val="00426133"/>
    <w:rsid w:val="004358AB"/>
    <w:rsid w:val="00474700"/>
    <w:rsid w:val="004814D4"/>
    <w:rsid w:val="00502575"/>
    <w:rsid w:val="0054351A"/>
    <w:rsid w:val="005A610F"/>
    <w:rsid w:val="00647AEB"/>
    <w:rsid w:val="006F4C6D"/>
    <w:rsid w:val="00850D73"/>
    <w:rsid w:val="008B41BE"/>
    <w:rsid w:val="008B4686"/>
    <w:rsid w:val="008B7726"/>
    <w:rsid w:val="009327DB"/>
    <w:rsid w:val="009A1DC9"/>
    <w:rsid w:val="009A5A68"/>
    <w:rsid w:val="009C67B2"/>
    <w:rsid w:val="00C11829"/>
    <w:rsid w:val="00C12BF2"/>
    <w:rsid w:val="00C169D0"/>
    <w:rsid w:val="00CD3A91"/>
    <w:rsid w:val="00D31D50"/>
    <w:rsid w:val="00DC1338"/>
    <w:rsid w:val="00DE0433"/>
    <w:rsid w:val="00E84025"/>
    <w:rsid w:val="00F13096"/>
    <w:rsid w:val="00FC5675"/>
    <w:rsid w:val="182F467F"/>
    <w:rsid w:val="3B3C336E"/>
    <w:rsid w:val="3EB20A0B"/>
    <w:rsid w:val="48AB197C"/>
    <w:rsid w:val="4C765DFD"/>
    <w:rsid w:val="5726041F"/>
    <w:rsid w:val="5EB6652D"/>
    <w:rsid w:val="6D490F3A"/>
    <w:rsid w:val="71DB43E3"/>
    <w:rsid w:val="753541F8"/>
    <w:rsid w:val="791365FE"/>
    <w:rsid w:val="7A725AB4"/>
    <w:rsid w:val="7C8A307B"/>
    <w:rsid w:val="7EA065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微软雅黑"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4">
    <w:name w:val="Default Paragraph Font"/>
    <w:autoRedefine/>
    <w:semiHidden/>
    <w:unhideWhenUsed/>
    <w:qFormat/>
    <w:uiPriority w:val="1"/>
  </w:style>
  <w:style w:type="table" w:default="1" w:styleId="3">
    <w:name w:val="Normal Table"/>
    <w:autoRedefine/>
    <w:semiHidden/>
    <w:unhideWhenUsed/>
    <w:qFormat/>
    <w:uiPriority w:val="99"/>
    <w:tblPr>
      <w:tblCellMar>
        <w:top w:w="0" w:type="dxa"/>
        <w:left w:w="108" w:type="dxa"/>
        <w:bottom w:w="0" w:type="dxa"/>
        <w:right w:w="108" w:type="dxa"/>
      </w:tblCellMar>
    </w:tblPr>
  </w:style>
  <w:style w:type="paragraph" w:styleId="2">
    <w:name w:val="Normal (Web)"/>
    <w:basedOn w:val="1"/>
    <w:autoRedefine/>
    <w:unhideWhenUsed/>
    <w:qFormat/>
    <w:uiPriority w:val="99"/>
    <w:pPr>
      <w:adjustRightInd/>
      <w:snapToGrid/>
      <w:spacing w:before="100" w:beforeAutospacing="1" w:after="100" w:afterAutospacing="1"/>
    </w:pPr>
    <w:rPr>
      <w:rFonts w:ascii="宋体" w:hAnsi="宋体" w:eastAsia="宋体" w:cs="宋体"/>
      <w:sz w:val="24"/>
      <w:szCs w:val="24"/>
    </w:rPr>
  </w:style>
  <w:style w:type="character" w:styleId="5">
    <w:name w:val="Strong"/>
    <w:basedOn w:val="4"/>
    <w:autoRedefine/>
    <w:qFormat/>
    <w:uiPriority w:val="22"/>
    <w:rPr>
      <w:b/>
      <w:bC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15</Pages>
  <Words>1131</Words>
  <Characters>6452</Characters>
  <Lines>53</Lines>
  <Paragraphs>15</Paragraphs>
  <TotalTime>38</TotalTime>
  <ScaleCrop>false</ScaleCrop>
  <LinksUpToDate>false</LinksUpToDate>
  <CharactersWithSpaces>7568</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叶蓁蓁</cp:lastModifiedBy>
  <cp:lastPrinted>2024-05-06T08:40:00Z</cp:lastPrinted>
  <dcterms:modified xsi:type="dcterms:W3CDTF">2024-05-07T02:42:12Z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123CEA197EFF4F5B9D8A3D25A0E15DB2_12</vt:lpwstr>
  </property>
</Properties>
</file>