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pPr>
      <w:bookmarkStart w:id="0" w:name="_GoBack"/>
      <w:r>
        <w:rPr>
          <w:rFonts w:hint="eastAsia"/>
        </w:rPr>
        <w:pict>
          <v:shape id="_x0000_s1026" o:spid="_x0000_s1026" o:spt="136" type="#_x0000_t136" style="position:absolute;left:0pt;margin-left:-0.05pt;margin-top:154.55pt;height:81pt;width:439.8pt;mso-position-vertical-relative:page;z-index:-251656192;mso-width-relative:page;mso-height-relative:page;" fillcolor="#FF0000" filled="t" stroked="t" coordsize="21600,21600" adj="10800">
            <v:path/>
            <v:fill on="t" color2="#FFFFFF" focussize="0,0"/>
            <v:stroke color="#FF0000"/>
            <v:imagedata o:title=""/>
            <o:lock v:ext="edit" aspectratio="f"/>
            <v:textpath on="t" fitshape="t" fitpath="t" trim="t" xscale="f" string="新余市渝水区人民政府办公室文件" style="font-family:方正小标宋简体;font-size:36pt;v-rotate-letters:f;v-same-letter-heights:f;v-text-align:center;"/>
          </v:shape>
        </w:pict>
      </w:r>
      <w:bookmarkEnd w:id="0"/>
    </w:p>
    <w:p>
      <w:pPr>
        <w:pStyle w:val="2"/>
        <w:spacing w:line="259" w:lineRule="auto"/>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jc w:val="right"/>
        <w:textAlignment w:val="baseline"/>
        <w:outlineLvl w:val="0"/>
        <w:rPr>
          <w:rFonts w:ascii="微软雅黑" w:hAnsi="微软雅黑" w:eastAsia="微软雅黑" w:cs="微软雅黑"/>
          <w:sz w:val="64"/>
          <w:szCs w:val="64"/>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jc w:val="center"/>
        <w:textAlignment w:val="baseline"/>
        <w:rPr>
          <w:rFonts w:hint="eastAsia" w:ascii="仿宋_GB2312" w:hAnsi="仿宋_GB2312" w:eastAsia="仿宋_GB2312" w:cs="仿宋_GB2312"/>
          <w:spacing w:val="4"/>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jc w:val="center"/>
        <w:textAlignment w:val="baseline"/>
        <w:rPr>
          <w:rFonts w:hint="eastAsia" w:ascii="仿宋_GB2312" w:hAnsi="仿宋_GB2312" w:eastAsia="仿宋_GB2312" w:cs="仿宋_GB2312"/>
          <w:spacing w:val="4"/>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jc w:val="center"/>
        <w:textAlignment w:val="baseline"/>
        <w:rPr>
          <w:rFonts w:hint="eastAsia" w:ascii="Times New Roman" w:hAnsi="Times New Roman" w:eastAsia="仿宋_GB2312" w:cs="仿宋_GB2312"/>
          <w:sz w:val="32"/>
          <w:szCs w:val="32"/>
        </w:rPr>
      </w:pPr>
      <w:r>
        <w:rPr>
          <w:rFonts w:hint="eastAsia" w:ascii="Times New Roman" w:hAnsi="Times New Roman" w:eastAsia="仿宋_GB2312" w:cs="仿宋_GB2312"/>
          <w:spacing w:val="4"/>
          <w:sz w:val="32"/>
          <w:szCs w:val="32"/>
        </w:rPr>
        <w:t>渝府办发〔2022〕39</w:t>
      </w:r>
      <w:r>
        <w:rPr>
          <w:rFonts w:hint="eastAsia" w:ascii="Times New Roman" w:hAnsi="Times New Roman" w:eastAsia="仿宋_GB2312" w:cs="仿宋_GB2312"/>
          <w:spacing w:val="-34"/>
          <w:sz w:val="32"/>
          <w:szCs w:val="32"/>
        </w:rPr>
        <w:t xml:space="preserve"> </w:t>
      </w:r>
      <w:r>
        <w:rPr>
          <w:rFonts w:hint="eastAsia" w:ascii="Times New Roman" w:hAnsi="Times New Roman" w:eastAsia="仿宋_GB2312" w:cs="仿宋_GB2312"/>
          <w:spacing w:val="4"/>
          <w:sz w:val="32"/>
          <w:szCs w:val="32"/>
        </w:rPr>
        <w:t>号</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ascii="Times New Roman" w:hAnsi="Times New Roman"/>
        </w:rPr>
      </w:pPr>
      <w:r>
        <w:rPr>
          <w:rFonts w:ascii="Times New Roman" w:hAnsi="Times New Roman"/>
        </w:rPr>
        <w:drawing>
          <wp:anchor distT="0" distB="0" distL="0" distR="0" simplePos="0" relativeHeight="251660288" behindDoc="1" locked="0" layoutInCell="1" allowOverlap="1">
            <wp:simplePos x="0" y="0"/>
            <wp:positionH relativeFrom="column">
              <wp:posOffset>-114300</wp:posOffset>
            </wp:positionH>
            <wp:positionV relativeFrom="page">
              <wp:posOffset>4130040</wp:posOffset>
            </wp:positionV>
            <wp:extent cx="5828665" cy="2794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0"/>
                    <a:stretch>
                      <a:fillRect/>
                    </a:stretch>
                  </pic:blipFill>
                  <pic:spPr>
                    <a:xfrm>
                      <a:off x="0" y="0"/>
                      <a:ext cx="5829205" cy="28573"/>
                    </a:xfrm>
                    <a:prstGeom prst="rect">
                      <a:avLst/>
                    </a:prstGeom>
                  </pic:spPr>
                </pic:pic>
              </a:graphicData>
            </a:graphic>
          </wp:anchor>
        </w:drawing>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Times New Roman" w:hAnsi="Times New Roman" w:eastAsia="方正小标宋简体" w:cs="方正小标宋简体"/>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jc w:val="center"/>
        <w:textAlignment w:val="baseline"/>
        <w:rPr>
          <w:rFonts w:hint="eastAsia" w:ascii="Times New Roman" w:hAnsi="Times New Roman" w:eastAsia="方正小标宋简体" w:cs="方正小标宋简体"/>
          <w:spacing w:val="8"/>
          <w:sz w:val="44"/>
          <w:szCs w:val="44"/>
        </w:rPr>
      </w:pPr>
      <w:r>
        <w:rPr>
          <w:rFonts w:hint="eastAsia" w:ascii="Times New Roman" w:hAnsi="Times New Roman" w:eastAsia="方正小标宋简体" w:cs="方正小标宋简体"/>
          <w:spacing w:val="8"/>
          <w:sz w:val="44"/>
          <w:szCs w:val="44"/>
        </w:rPr>
        <w:t>渝水区人民政府办公室</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jc w:val="center"/>
        <w:textAlignment w:val="baseline"/>
        <w:rPr>
          <w:rFonts w:hint="eastAsia" w:ascii="Times New Roman" w:hAnsi="Times New Roman" w:eastAsia="方正小标宋简体" w:cs="方正小标宋简体"/>
          <w:spacing w:val="9"/>
          <w:sz w:val="44"/>
          <w:szCs w:val="44"/>
        </w:rPr>
      </w:pPr>
      <w:r>
        <w:rPr>
          <w:rFonts w:hint="eastAsia" w:ascii="Times New Roman" w:hAnsi="Times New Roman" w:eastAsia="方正小标宋简体" w:cs="方正小标宋简体"/>
          <w:spacing w:val="8"/>
          <w:sz w:val="44"/>
          <w:szCs w:val="44"/>
        </w:rPr>
        <w:t>印发《关于推进</w:t>
      </w:r>
      <w:r>
        <w:rPr>
          <w:rFonts w:hint="eastAsia" w:ascii="Times New Roman" w:hAnsi="Times New Roman" w:eastAsia="方正小标宋简体" w:cs="方正小标宋简体"/>
          <w:spacing w:val="9"/>
          <w:sz w:val="44"/>
          <w:szCs w:val="44"/>
        </w:rPr>
        <w:t>全程科技服务的绩效评价</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jc w:val="center"/>
        <w:textAlignment w:val="baseline"/>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pacing w:val="9"/>
          <w:sz w:val="44"/>
          <w:szCs w:val="44"/>
        </w:rPr>
        <w:t>办法》</w:t>
      </w:r>
      <w:r>
        <w:rPr>
          <w:rFonts w:hint="eastAsia" w:ascii="Times New Roman" w:hAnsi="Times New Roman" w:eastAsia="方正小标宋简体" w:cs="方正小标宋简体"/>
          <w:spacing w:val="-6"/>
          <w:sz w:val="44"/>
          <w:szCs w:val="44"/>
        </w:rPr>
        <w:t>的通知</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Times New Roman" w:hAnsi="Times New Roman" w:eastAsia="方正小标宋简体" w:cs="方正小标宋简体"/>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各乡镇（办事处），区政府各部门，区直各单位：</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现将《关于推进全程科技服务的绩效评价办法》印发给你们，</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请结合实际，认真抓好贯彻落实。</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Times New Roman" w:hAnsi="Times New Roman" w:eastAsia="仿宋_GB2312" w:cs="仿宋_GB2312"/>
          <w:spacing w:val="0"/>
          <w:position w:val="0"/>
          <w:sz w:val="32"/>
          <w:szCs w:val="32"/>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drawing>
          <wp:anchor distT="0" distB="0" distL="0" distR="0" simplePos="0" relativeHeight="251659264" behindDoc="1" locked="0" layoutInCell="1" allowOverlap="1">
            <wp:simplePos x="0" y="0"/>
            <wp:positionH relativeFrom="column">
              <wp:posOffset>3129280</wp:posOffset>
            </wp:positionH>
            <wp:positionV relativeFrom="paragraph">
              <wp:posOffset>45720</wp:posOffset>
            </wp:positionV>
            <wp:extent cx="1511935" cy="1511935"/>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1"/>
                    <a:stretch>
                      <a:fillRect/>
                    </a:stretch>
                  </pic:blipFill>
                  <pic:spPr>
                    <a:xfrm>
                      <a:off x="0" y="0"/>
                      <a:ext cx="1511999" cy="1511999"/>
                    </a:xfrm>
                    <a:prstGeom prst="rect">
                      <a:avLst/>
                    </a:prstGeom>
                  </pic:spPr>
                </pic:pic>
              </a:graphicData>
            </a:graphic>
          </wp:anchor>
        </w:drawing>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Times New Roman" w:hAnsi="Times New Roman" w:eastAsia="仿宋_GB2312" w:cs="仿宋_GB2312"/>
          <w:spacing w:val="0"/>
          <w:position w:val="0"/>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4480" w:firstLineChars="1400"/>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渝水区人民政府办公室</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120" w:firstLineChars="1600"/>
        <w:textAlignment w:val="baseline"/>
        <w:rPr>
          <w:rFonts w:hint="eastAsia" w:ascii="仿宋_GB2312" w:hAnsi="仿宋_GB2312"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2022年9月20日</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方正小标宋简体" w:hAnsi="方正小标宋简体" w:eastAsia="方正小标宋简体" w:cs="方正小标宋简体"/>
          <w:sz w:val="44"/>
          <w:szCs w:val="44"/>
        </w:rPr>
      </w:pP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jc w:val="center"/>
        <w:textAlignment w:val="baseline"/>
        <w:rPr>
          <w:rFonts w:hint="eastAsia" w:ascii="方正小标宋简体" w:hAnsi="方正小标宋简体" w:eastAsia="方正小标宋简体" w:cs="方正小标宋简体"/>
          <w:spacing w:val="0"/>
          <w:position w:val="0"/>
          <w:sz w:val="44"/>
          <w:szCs w:val="44"/>
        </w:rPr>
      </w:pPr>
      <w:r>
        <w:rPr>
          <w:rFonts w:hint="eastAsia" w:ascii="方正小标宋简体" w:hAnsi="方正小标宋简体" w:eastAsia="方正小标宋简体" w:cs="方正小标宋简体"/>
          <w:spacing w:val="0"/>
          <w:position w:val="0"/>
          <w:sz w:val="44"/>
          <w:szCs w:val="44"/>
        </w:rPr>
        <w:t>关于推进全程科技服务的绩效评价办法</w:t>
      </w:r>
    </w:p>
    <w:p>
      <w:pPr>
        <w:pStyle w:val="2"/>
        <w:keepNext w:val="0"/>
        <w:keepLines w:val="0"/>
        <w:pageBreakBefore w:val="0"/>
        <w:widowControl/>
        <w:kinsoku/>
        <w:wordWrap/>
        <w:overflowPunct/>
        <w:topLinePunct w:val="0"/>
        <w:autoSpaceDE w:val="0"/>
        <w:autoSpaceDN w:val="0"/>
        <w:bidi w:val="0"/>
        <w:adjustRightInd w:val="0"/>
        <w:snapToGrid w:val="0"/>
        <w:spacing w:line="560" w:lineRule="exact"/>
        <w:ind w:left="0" w:right="0"/>
        <w:jc w:val="both"/>
        <w:textAlignment w:val="baseline"/>
        <w:rPr>
          <w:rFonts w:hint="eastAsia" w:ascii="方正小标宋简体" w:hAnsi="方正小标宋简体" w:eastAsia="方正小标宋简体" w:cs="方正小标宋简体"/>
          <w:spacing w:val="0"/>
          <w:position w:val="0"/>
          <w:sz w:val="44"/>
          <w:szCs w:val="44"/>
        </w:rPr>
      </w:pP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2"/>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为鼓励科技服务机构更好地服务我区企业，落实《关于推进全企研发覆盖的实施办法》中企业研发机构创建全覆盖，助推我区科技创新高质量发展，对在我区开展科技服务的机构进行绩效评价，特制定本办法。</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Times New Roman" w:hAnsi="Times New Roman" w:eastAsia="黑体" w:cs="黑体"/>
          <w:spacing w:val="0"/>
          <w:position w:val="0"/>
          <w:sz w:val="32"/>
          <w:szCs w:val="32"/>
        </w:rPr>
      </w:pPr>
      <w:r>
        <w:rPr>
          <w:rFonts w:hint="eastAsia" w:ascii="Times New Roman" w:hAnsi="Times New Roman" w:eastAsia="黑体" w:cs="黑体"/>
          <w:spacing w:val="0"/>
          <w:position w:val="0"/>
          <w:sz w:val="32"/>
          <w:szCs w:val="32"/>
        </w:rPr>
        <w:t>一、评价对象</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在我省境内注册登记，具有独立法人资格，正常开展科技服</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务活动一周年以上，正在我区开展服务的科技服务机构。</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Times New Roman" w:hAnsi="Times New Roman" w:eastAsia="黑体" w:cs="黑体"/>
          <w:spacing w:val="0"/>
          <w:position w:val="0"/>
          <w:sz w:val="32"/>
          <w:szCs w:val="32"/>
        </w:rPr>
      </w:pPr>
      <w:r>
        <w:rPr>
          <w:rFonts w:hint="eastAsia" w:ascii="Times New Roman" w:hAnsi="Times New Roman" w:eastAsia="黑体" w:cs="黑体"/>
          <w:spacing w:val="0"/>
          <w:position w:val="0"/>
          <w:sz w:val="32"/>
          <w:szCs w:val="32"/>
        </w:rPr>
        <w:t>二、评价内容</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28"/>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针对科技服务机构年度指导企业创建研发机构，引导企业研发投入，指导高新技术企业、科技型中小企业、科技项目申报、政策咨询、科技活动等全程科技创新服务绩效进行评价。</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Times New Roman" w:hAnsi="Times New Roman" w:eastAsia="黑体" w:cs="黑体"/>
          <w:spacing w:val="0"/>
          <w:position w:val="0"/>
          <w:sz w:val="32"/>
          <w:szCs w:val="32"/>
        </w:rPr>
      </w:pPr>
      <w:r>
        <w:rPr>
          <w:rFonts w:hint="eastAsia" w:ascii="Times New Roman" w:hAnsi="Times New Roman" w:eastAsia="黑体" w:cs="黑体"/>
          <w:spacing w:val="0"/>
          <w:position w:val="0"/>
          <w:sz w:val="32"/>
          <w:szCs w:val="32"/>
        </w:rPr>
        <w:t>三、评价细则</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3" w:firstLineChars="200"/>
        <w:jc w:val="both"/>
        <w:textAlignment w:val="baseline"/>
        <w:rPr>
          <w:rFonts w:hint="eastAsia" w:ascii="Times New Roman" w:hAnsi="Times New Roman" w:eastAsia="楷体_GB2312" w:cs="楷体_GB2312"/>
          <w:b/>
          <w:bCs/>
          <w:spacing w:val="0"/>
          <w:position w:val="0"/>
          <w:sz w:val="32"/>
          <w:szCs w:val="32"/>
        </w:rPr>
      </w:pPr>
      <w:r>
        <w:rPr>
          <w:rFonts w:hint="eastAsia" w:ascii="Times New Roman" w:hAnsi="Times New Roman" w:eastAsia="楷体_GB2312" w:cs="楷体_GB2312"/>
          <w:b/>
          <w:bCs/>
          <w:spacing w:val="0"/>
          <w:position w:val="0"/>
          <w:sz w:val="32"/>
          <w:szCs w:val="32"/>
        </w:rPr>
        <w:t>（一）指导企业创建研发机构（70分）</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52"/>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1.根据《关于推进全企研发覆盖的实施办法》，指导企业创建研发机构，按以下标准合计计分：A类企业计分为6分/户；B类企业计分为4分/户；C类企业计分为3分/户；D类企业计分</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为2.5分/户；E类企业计分为2分/户。</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23"/>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2.若有服务机构此项得分超过70分，则所有服务机构此项最后得分=70分×（该服务机构此项得分/所有服务机构中此项</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最高得分）。</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3" w:firstLineChars="200"/>
        <w:jc w:val="both"/>
        <w:textAlignment w:val="baseline"/>
        <w:rPr>
          <w:rFonts w:hint="eastAsia" w:ascii="Times New Roman" w:hAnsi="Times New Roman" w:eastAsia="楷体_GB2312" w:cs="楷体_GB2312"/>
          <w:b/>
          <w:bCs/>
          <w:spacing w:val="0"/>
          <w:position w:val="0"/>
          <w:sz w:val="32"/>
          <w:szCs w:val="32"/>
        </w:rPr>
      </w:pPr>
      <w:r>
        <w:rPr>
          <w:rFonts w:hint="eastAsia" w:ascii="Times New Roman" w:hAnsi="Times New Roman" w:eastAsia="楷体_GB2312" w:cs="楷体_GB2312"/>
          <w:b/>
          <w:bCs/>
          <w:spacing w:val="0"/>
          <w:position w:val="0"/>
          <w:sz w:val="32"/>
          <w:szCs w:val="32"/>
        </w:rPr>
        <w:t>（二）引导企业加大研发投入（30分）</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35"/>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b/>
          <w:bCs/>
          <w:spacing w:val="0"/>
          <w:position w:val="0"/>
          <w:sz w:val="32"/>
          <w:szCs w:val="32"/>
        </w:rPr>
        <w:t>1.增速（20分）</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35"/>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本机构所有服务企业研发投入总量同比增速计分。增速N%（精确到小数点后1位）在5%-20%范围之内（含）计N分；增</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速低于5%不计分；增速高于20%计20分。</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35"/>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b/>
          <w:bCs/>
          <w:spacing w:val="0"/>
          <w:position w:val="0"/>
          <w:sz w:val="32"/>
          <w:szCs w:val="32"/>
        </w:rPr>
        <w:t>2.增量（10分）</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35"/>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本机构所有服务企业研发投入总量同比增量计分。增量500（含）万元以下计2分；500-1000（含）万元计4分；1000-1500（含）万元计6分；1500-2000（含）万元计8分；2000万元以</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上计10分。</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3" w:firstLineChars="200"/>
        <w:jc w:val="both"/>
        <w:textAlignment w:val="baseline"/>
        <w:rPr>
          <w:rFonts w:hint="eastAsia" w:ascii="Times New Roman" w:hAnsi="Times New Roman" w:eastAsia="楷体_GB2312" w:cs="楷体_GB2312"/>
          <w:b/>
          <w:bCs/>
          <w:spacing w:val="0"/>
          <w:position w:val="0"/>
          <w:sz w:val="32"/>
          <w:szCs w:val="32"/>
        </w:rPr>
      </w:pPr>
      <w:r>
        <w:rPr>
          <w:rFonts w:hint="eastAsia" w:ascii="Times New Roman" w:hAnsi="Times New Roman" w:eastAsia="楷体_GB2312" w:cs="楷体_GB2312"/>
          <w:b/>
          <w:bCs/>
          <w:spacing w:val="0"/>
          <w:position w:val="0"/>
          <w:sz w:val="32"/>
          <w:szCs w:val="32"/>
        </w:rPr>
        <w:t>（三）加分项</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1.机构服务对象中当年有被认定为瞪羚企业的加6分/户，认定为潜在瞪羚企业的加4分/户。</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2.机构服务对象中当年有被认定为高新技术企业的加4分/户，有重新认定为高新技术企业的加2分/户。</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3.机构服务对象中当年有获批省级项目的加2分/个，获批市级项目的加0.5分/个。</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4.机构服务对象中当年有新增研发投入认定企业的加1分/户。</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5.机构服务对象中当年有新增认定为科技型中小企业的加</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0.5分/户。</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20"/>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楷体_GB2312" w:cs="楷体_GB2312"/>
          <w:b/>
          <w:bCs/>
          <w:spacing w:val="0"/>
          <w:position w:val="0"/>
          <w:sz w:val="32"/>
          <w:szCs w:val="32"/>
        </w:rPr>
        <w:t>（四）否决项</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20"/>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1.全年所有服务机构服务企业研发投入合计未完成上级部门下达的任务，取消优秀奖评比；如有服务机构得分占所有服务机构总分50%以上（含）的，则补助该服务机构5万元。</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33"/>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2.优秀奖获得服务机构，必须满足：（1）新增认定1户高新技术企业或重新认定3户高新技术企业；（2）至少服务企业完成省级项目1个或市级项目3个；（3）最少服务15户企业三项中两项。</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3.服务机构累计3次（含）以上未及时报送区科技局相关材料，取消评优资格。</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3" w:firstLineChars="200"/>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楷体_GB2312" w:cs="楷体_GB2312"/>
          <w:b/>
          <w:bCs/>
          <w:spacing w:val="0"/>
          <w:position w:val="0"/>
          <w:sz w:val="32"/>
          <w:szCs w:val="32"/>
        </w:rPr>
        <w:t>（五）其他</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1.非工业企业创建研发机构认定标准参照《关于推进全企研发覆盖的实施办法》。</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2.若服务机构得分相同，优先以服务高企成功数排名，再以指导企业研发机构创建和企业研发费用归集总量排名。</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3.数据认定以科技、统计、税务等相关部门核定为准。</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Times New Roman" w:hAnsi="Times New Roman" w:eastAsia="黑体" w:cs="黑体"/>
          <w:spacing w:val="0"/>
          <w:position w:val="0"/>
          <w:sz w:val="32"/>
          <w:szCs w:val="32"/>
        </w:rPr>
      </w:pPr>
      <w:r>
        <w:rPr>
          <w:rFonts w:hint="eastAsia" w:ascii="Times New Roman" w:hAnsi="Times New Roman" w:eastAsia="黑体" w:cs="黑体"/>
          <w:spacing w:val="0"/>
          <w:position w:val="0"/>
          <w:sz w:val="32"/>
          <w:szCs w:val="32"/>
        </w:rPr>
        <w:t>四、评价应用</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8"/>
        <w:jc w:val="both"/>
        <w:textAlignment w:val="baseline"/>
        <w:rPr>
          <w:rFonts w:hint="eastAsia" w:ascii="Times New Roman" w:hAnsi="Times New Roman" w:eastAsia="仿宋_GB2312" w:cs="仿宋_GB2312"/>
          <w:spacing w:val="-6"/>
          <w:position w:val="0"/>
          <w:sz w:val="32"/>
          <w:szCs w:val="32"/>
          <w:lang w:val="en-US" w:eastAsia="zh-CN"/>
        </w:rPr>
      </w:pPr>
      <w:r>
        <w:rPr>
          <w:rFonts w:hint="eastAsia" w:ascii="Times New Roman" w:hAnsi="Times New Roman" w:eastAsia="楷体_GB2312" w:cs="楷体_GB2312"/>
          <w:b/>
          <w:bCs/>
          <w:spacing w:val="6"/>
          <w:position w:val="0"/>
          <w:sz w:val="32"/>
          <w:szCs w:val="32"/>
        </w:rPr>
        <w:t>（一）基本服务费用。</w:t>
      </w:r>
      <w:r>
        <w:rPr>
          <w:rFonts w:hint="eastAsia" w:ascii="Times New Roman" w:hAnsi="Times New Roman" w:eastAsia="仿宋_GB2312" w:cs="仿宋_GB2312"/>
          <w:spacing w:val="6"/>
          <w:position w:val="0"/>
          <w:sz w:val="32"/>
          <w:szCs w:val="32"/>
        </w:rPr>
        <w:t>对指导企业研发投入审核通过的，给予科技服务机构0.3万元/户基本服务费；若某机构所服务对象研发投入合计增速未达到5%，则该机构基本服务费用减半支付。</w:t>
      </w:r>
      <w:r>
        <w:rPr>
          <w:rFonts w:hint="eastAsia" w:ascii="Times New Roman" w:hAnsi="Times New Roman" w:eastAsia="仿宋_GB2312" w:cs="仿宋_GB2312"/>
          <w:spacing w:val="6"/>
          <w:position w:val="0"/>
          <w:sz w:val="32"/>
          <w:szCs w:val="32"/>
          <w:lang w:val="en-US" w:eastAsia="zh-CN"/>
        </w:rPr>
        <w:t xml:space="preserve">     </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8"/>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楷体_GB2312" w:cs="楷体_GB2312"/>
          <w:b/>
          <w:bCs/>
          <w:spacing w:val="0"/>
          <w:position w:val="0"/>
          <w:sz w:val="32"/>
          <w:szCs w:val="32"/>
        </w:rPr>
        <w:t>（二）优秀奖。</w:t>
      </w:r>
      <w:r>
        <w:rPr>
          <w:rFonts w:hint="eastAsia" w:ascii="Times New Roman" w:hAnsi="Times New Roman" w:eastAsia="仿宋_GB2312" w:cs="仿宋_GB2312"/>
          <w:spacing w:val="0"/>
          <w:position w:val="0"/>
          <w:sz w:val="32"/>
          <w:szCs w:val="32"/>
        </w:rPr>
        <w:t>由区科技局组织专家评审报区政府确定，每年评选出优秀科技服务机构3个。其中：一等奖1个，奖金15</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万元；二等奖1个，奖金10万元；三等奖1个，奖金5万元。</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Times New Roman" w:hAnsi="Times New Roman" w:eastAsia="黑体" w:cs="黑体"/>
          <w:spacing w:val="0"/>
          <w:position w:val="0"/>
          <w:sz w:val="32"/>
          <w:szCs w:val="32"/>
        </w:rPr>
      </w:pPr>
      <w:r>
        <w:rPr>
          <w:rFonts w:hint="eastAsia" w:ascii="Times New Roman" w:hAnsi="Times New Roman" w:eastAsia="黑体" w:cs="黑体"/>
          <w:spacing w:val="0"/>
          <w:position w:val="0"/>
          <w:sz w:val="32"/>
          <w:szCs w:val="32"/>
        </w:rPr>
        <w:t>五、其他</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（一）参评机构在参评过程中，如存在失信行为，取消其应评价结果，且2年内不接受其参评申请。</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（二）本办法所需资金从科技专项资金列支。</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（三）本办法由区科技局负责解释。</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（四）本办法自发布之日起实施，如出台相关新政策，以新政策为准。</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（五）本办法如与国家和上级相关政策、规定相抵触，执行国家和上级政策、规定。</w:t>
      </w:r>
    </w:p>
    <w:p>
      <w:pPr>
        <w:pStyle w:val="2"/>
        <w:keepNext w:val="0"/>
        <w:keepLines w:val="0"/>
        <w:pageBreakBefore w:val="0"/>
        <w:widowControl/>
        <w:kinsoku/>
        <w:wordWrap/>
        <w:overflowPunct/>
        <w:topLinePunct w:val="0"/>
        <w:autoSpaceDE w:val="0"/>
        <w:autoSpaceDN w:val="0"/>
        <w:bidi w:val="0"/>
        <w:adjustRightInd w:val="0"/>
        <w:snapToGrid w:val="0"/>
        <w:spacing w:line="560" w:lineRule="exact"/>
        <w:ind w:left="0" w:right="0"/>
        <w:jc w:val="both"/>
        <w:textAlignment w:val="baseline"/>
        <w:rPr>
          <w:rFonts w:hint="eastAsia" w:ascii="Times New Roman" w:hAnsi="Times New Roman" w:eastAsia="仿宋_GB2312" w:cs="仿宋_GB2312"/>
          <w:spacing w:val="0"/>
          <w:position w:val="0"/>
          <w:sz w:val="32"/>
          <w:szCs w:val="32"/>
        </w:rPr>
      </w:pP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ascii="仿宋" w:hAnsi="仿宋" w:eastAsia="仿宋" w:cs="仿宋"/>
          <w:sz w:val="31"/>
          <w:szCs w:val="31"/>
        </w:rPr>
        <w:sectPr>
          <w:headerReference r:id="rId5" w:type="default"/>
          <w:footerReference r:id="rId6" w:type="default"/>
          <w:pgSz w:w="11906" w:h="16838"/>
          <w:pgMar w:top="2098" w:right="1531" w:bottom="1984" w:left="1531" w:header="0" w:footer="1366" w:gutter="0"/>
          <w:pgNumType w:fmt="decimal"/>
          <w:cols w:space="0" w:num="1"/>
          <w:rtlGutter w:val="0"/>
          <w:docGrid w:linePitch="0" w:charSpace="0"/>
        </w:sectPr>
      </w:pPr>
      <w:r>
        <w:rPr>
          <w:rFonts w:hint="eastAsia" w:ascii="Times New Roman" w:hAnsi="Times New Roman" w:eastAsia="仿宋_GB2312" w:cs="仿宋_GB2312"/>
          <w:spacing w:val="0"/>
          <w:position w:val="0"/>
          <w:sz w:val="32"/>
          <w:szCs w:val="32"/>
        </w:rPr>
        <w:t>附件：渝水区科技服务机构基本信息统计表</w:t>
      </w:r>
    </w:p>
    <w:p>
      <w:pPr>
        <w:keepNext w:val="0"/>
        <w:keepLines w:val="0"/>
        <w:pageBreakBefore w:val="0"/>
        <w:widowControl/>
        <w:kinsoku/>
        <w:wordWrap/>
        <w:overflowPunct/>
        <w:topLinePunct w:val="0"/>
        <w:autoSpaceDE w:val="0"/>
        <w:autoSpaceDN w:val="0"/>
        <w:bidi w:val="0"/>
        <w:adjustRightInd w:val="0"/>
        <w:snapToGrid w:val="0"/>
        <w:spacing w:line="560" w:lineRule="exact"/>
        <w:ind w:left="0"/>
        <w:textAlignment w:val="baseline"/>
        <w:rPr>
          <w:rFonts w:hint="eastAsia" w:ascii="黑体" w:hAnsi="黑体" w:eastAsia="黑体" w:cs="黑体"/>
          <w:spacing w:val="0"/>
          <w:position w:val="0"/>
          <w:sz w:val="32"/>
          <w:szCs w:val="32"/>
        </w:rPr>
      </w:pPr>
      <w:r>
        <w:rPr>
          <w:rFonts w:hint="eastAsia" w:ascii="黑体" w:hAnsi="黑体" w:eastAsia="黑体" w:cs="黑体"/>
          <w:spacing w:val="0"/>
          <w:position w:val="0"/>
          <w:sz w:val="32"/>
          <w:szCs w:val="32"/>
        </w:rPr>
        <w:t>附件</w:t>
      </w:r>
    </w:p>
    <w:p>
      <w:pPr>
        <w:pStyle w:val="2"/>
        <w:keepNext w:val="0"/>
        <w:keepLines w:val="0"/>
        <w:pageBreakBefore w:val="0"/>
        <w:widowControl/>
        <w:wordWrap/>
        <w:overflowPunct/>
        <w:topLinePunct w:val="0"/>
        <w:autoSpaceDE w:val="0"/>
        <w:autoSpaceDN w:val="0"/>
        <w:bidi w:val="0"/>
        <w:adjustRightInd w:val="0"/>
        <w:snapToGrid w:val="0"/>
        <w:spacing w:line="560" w:lineRule="exact"/>
        <w:ind w:left="0"/>
        <w:textAlignment w:val="baseline"/>
        <w:rPr>
          <w:rFonts w:hint="eastAsia" w:ascii="黑体" w:hAnsi="黑体" w:eastAsia="黑体" w:cs="黑体"/>
          <w:spacing w:val="0"/>
          <w:position w:val="0"/>
          <w:sz w:val="24"/>
          <w:szCs w:val="24"/>
        </w:rPr>
      </w:pPr>
    </w:p>
    <w:p>
      <w:pPr>
        <w:keepNext w:val="0"/>
        <w:keepLines w:val="0"/>
        <w:pageBreakBefore w:val="0"/>
        <w:widowControl/>
        <w:wordWrap/>
        <w:overflowPunct/>
        <w:topLinePunct w:val="0"/>
        <w:autoSpaceDE w:val="0"/>
        <w:autoSpaceDN w:val="0"/>
        <w:bidi w:val="0"/>
        <w:adjustRightInd w:val="0"/>
        <w:snapToGrid w:val="0"/>
        <w:spacing w:line="560" w:lineRule="exact"/>
        <w:ind w:left="0"/>
        <w:jc w:val="center"/>
        <w:textAlignment w:val="baseline"/>
        <w:rPr>
          <w:rFonts w:hint="eastAsia" w:ascii="方正小标宋简体" w:hAnsi="方正小标宋简体" w:eastAsia="方正小标宋简体" w:cs="方正小标宋简体"/>
          <w:spacing w:val="0"/>
          <w:position w:val="0"/>
          <w:sz w:val="44"/>
          <w:szCs w:val="44"/>
        </w:rPr>
      </w:pPr>
      <w:r>
        <w:rPr>
          <w:rFonts w:hint="eastAsia" w:ascii="方正小标宋简体" w:hAnsi="方正小标宋简体" w:eastAsia="方正小标宋简体" w:cs="方正小标宋简体"/>
          <w:spacing w:val="0"/>
          <w:position w:val="0"/>
          <w:sz w:val="44"/>
          <w:szCs w:val="44"/>
        </w:rPr>
        <w:t>渝水区科技服务机构基本信息统计表</w:t>
      </w:r>
    </w:p>
    <w:p>
      <w:pPr>
        <w:keepNext w:val="0"/>
        <w:keepLines w:val="0"/>
        <w:pageBreakBefore w:val="0"/>
        <w:widowControl/>
        <w:wordWrap/>
        <w:overflowPunct/>
        <w:topLinePunct w:val="0"/>
        <w:autoSpaceDE w:val="0"/>
        <w:autoSpaceDN w:val="0"/>
        <w:bidi w:val="0"/>
        <w:adjustRightInd w:val="0"/>
        <w:snapToGrid w:val="0"/>
        <w:spacing w:line="560" w:lineRule="exact"/>
        <w:ind w:left="0"/>
        <w:textAlignment w:val="baseline"/>
        <w:rPr>
          <w:rFonts w:hint="eastAsia" w:ascii="黑体" w:hAnsi="黑体" w:eastAsia="黑体" w:cs="黑体"/>
          <w:spacing w:val="0"/>
          <w:position w:val="0"/>
          <w:sz w:val="24"/>
          <w:szCs w:val="24"/>
        </w:rPr>
      </w:pPr>
    </w:p>
    <w:tbl>
      <w:tblPr>
        <w:tblStyle w:val="7"/>
        <w:tblW w:w="882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09"/>
        <w:gridCol w:w="1617"/>
        <w:gridCol w:w="1105"/>
        <w:gridCol w:w="1"/>
        <w:gridCol w:w="951"/>
        <w:gridCol w:w="1"/>
        <w:gridCol w:w="253"/>
        <w:gridCol w:w="1239"/>
        <w:gridCol w:w="816"/>
        <w:gridCol w:w="209"/>
        <w:gridCol w:w="593"/>
        <w:gridCol w:w="926"/>
        <w:gridCol w:w="70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jc w:val="center"/>
        </w:trPr>
        <w:tc>
          <w:tcPr>
            <w:tcW w:w="2026" w:type="dxa"/>
            <w:gridSpan w:val="2"/>
            <w:vAlign w:val="center"/>
          </w:tcPr>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机构名称</w:t>
            </w:r>
          </w:p>
        </w:tc>
        <w:tc>
          <w:tcPr>
            <w:tcW w:w="2311" w:type="dxa"/>
            <w:gridSpan w:val="5"/>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2264" w:type="dxa"/>
            <w:gridSpan w:val="3"/>
            <w:vAlign w:val="center"/>
          </w:tcPr>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机构代码</w:t>
            </w:r>
          </w:p>
        </w:tc>
        <w:tc>
          <w:tcPr>
            <w:tcW w:w="2221" w:type="dxa"/>
            <w:gridSpan w:val="3"/>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jc w:val="center"/>
        </w:trPr>
        <w:tc>
          <w:tcPr>
            <w:tcW w:w="2026" w:type="dxa"/>
            <w:gridSpan w:val="2"/>
            <w:vAlign w:val="center"/>
          </w:tcPr>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机构地址</w:t>
            </w:r>
          </w:p>
        </w:tc>
        <w:tc>
          <w:tcPr>
            <w:tcW w:w="2311" w:type="dxa"/>
            <w:gridSpan w:val="5"/>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2264" w:type="dxa"/>
            <w:gridSpan w:val="3"/>
            <w:vAlign w:val="center"/>
          </w:tcPr>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注册日期</w:t>
            </w:r>
          </w:p>
        </w:tc>
        <w:tc>
          <w:tcPr>
            <w:tcW w:w="2221" w:type="dxa"/>
            <w:gridSpan w:val="3"/>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jc w:val="center"/>
        </w:trPr>
        <w:tc>
          <w:tcPr>
            <w:tcW w:w="2026" w:type="dxa"/>
            <w:gridSpan w:val="2"/>
            <w:vAlign w:val="center"/>
          </w:tcPr>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注册资金（万元）</w:t>
            </w:r>
          </w:p>
        </w:tc>
        <w:tc>
          <w:tcPr>
            <w:tcW w:w="2311" w:type="dxa"/>
            <w:gridSpan w:val="5"/>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2264" w:type="dxa"/>
            <w:gridSpan w:val="3"/>
            <w:vAlign w:val="center"/>
          </w:tcPr>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办公场所面积（㎡）</w:t>
            </w:r>
          </w:p>
        </w:tc>
        <w:tc>
          <w:tcPr>
            <w:tcW w:w="2221" w:type="dxa"/>
            <w:gridSpan w:val="3"/>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jc w:val="center"/>
        </w:trPr>
        <w:tc>
          <w:tcPr>
            <w:tcW w:w="2026" w:type="dxa"/>
            <w:gridSpan w:val="2"/>
            <w:vAlign w:val="center"/>
          </w:tcPr>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法人代表</w:t>
            </w:r>
          </w:p>
        </w:tc>
        <w:tc>
          <w:tcPr>
            <w:tcW w:w="2311" w:type="dxa"/>
            <w:gridSpan w:val="5"/>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2264" w:type="dxa"/>
            <w:gridSpan w:val="3"/>
            <w:vAlign w:val="center"/>
          </w:tcPr>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联系电话</w:t>
            </w:r>
          </w:p>
        </w:tc>
        <w:tc>
          <w:tcPr>
            <w:tcW w:w="2221" w:type="dxa"/>
            <w:gridSpan w:val="3"/>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jc w:val="center"/>
        </w:trPr>
        <w:tc>
          <w:tcPr>
            <w:tcW w:w="2026" w:type="dxa"/>
            <w:gridSpan w:val="2"/>
            <w:vAlign w:val="center"/>
          </w:tcPr>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职工总数</w:t>
            </w:r>
          </w:p>
        </w:tc>
        <w:tc>
          <w:tcPr>
            <w:tcW w:w="2311" w:type="dxa"/>
            <w:gridSpan w:val="5"/>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2264" w:type="dxa"/>
            <w:gridSpan w:val="3"/>
            <w:vAlign w:val="center"/>
          </w:tcPr>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其中：本科以上人员</w:t>
            </w:r>
          </w:p>
        </w:tc>
        <w:tc>
          <w:tcPr>
            <w:tcW w:w="2221" w:type="dxa"/>
            <w:gridSpan w:val="3"/>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0" w:hRule="atLeast"/>
          <w:jc w:val="center"/>
        </w:trPr>
        <w:tc>
          <w:tcPr>
            <w:tcW w:w="2026" w:type="dxa"/>
            <w:gridSpan w:val="2"/>
            <w:vAlign w:val="center"/>
          </w:tcPr>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主要业务内容</w:t>
            </w:r>
          </w:p>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（按业务收入</w:t>
            </w:r>
          </w:p>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大小排序）</w:t>
            </w:r>
          </w:p>
        </w:tc>
        <w:tc>
          <w:tcPr>
            <w:tcW w:w="6796" w:type="dxa"/>
            <w:gridSpan w:val="11"/>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9" w:hRule="atLeast"/>
          <w:jc w:val="center"/>
        </w:trPr>
        <w:tc>
          <w:tcPr>
            <w:tcW w:w="2026" w:type="dxa"/>
            <w:gridSpan w:val="2"/>
            <w:vAlign w:val="center"/>
          </w:tcPr>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年度营业收入</w:t>
            </w:r>
          </w:p>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（万元）</w:t>
            </w:r>
          </w:p>
        </w:tc>
        <w:tc>
          <w:tcPr>
            <w:tcW w:w="6796" w:type="dxa"/>
            <w:gridSpan w:val="11"/>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jc w:val="center"/>
        </w:trPr>
        <w:tc>
          <w:tcPr>
            <w:tcW w:w="2026" w:type="dxa"/>
            <w:gridSpan w:val="2"/>
            <w:vAlign w:val="center"/>
          </w:tcPr>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上年服务企业数</w:t>
            </w:r>
          </w:p>
        </w:tc>
        <w:tc>
          <w:tcPr>
            <w:tcW w:w="2311" w:type="dxa"/>
            <w:gridSpan w:val="5"/>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2264" w:type="dxa"/>
            <w:gridSpan w:val="3"/>
            <w:vAlign w:val="center"/>
          </w:tcPr>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其中服务高企申报数</w:t>
            </w:r>
          </w:p>
        </w:tc>
        <w:tc>
          <w:tcPr>
            <w:tcW w:w="2221" w:type="dxa"/>
            <w:gridSpan w:val="3"/>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6" w:hRule="atLeast"/>
          <w:jc w:val="center"/>
        </w:trPr>
        <w:tc>
          <w:tcPr>
            <w:tcW w:w="2026" w:type="dxa"/>
            <w:gridSpan w:val="2"/>
            <w:vAlign w:val="center"/>
          </w:tcPr>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其他服务情况</w:t>
            </w:r>
          </w:p>
        </w:tc>
        <w:tc>
          <w:tcPr>
            <w:tcW w:w="3550" w:type="dxa"/>
            <w:gridSpan w:val="6"/>
            <w:tcBorders>
              <w:right w:val="nil"/>
            </w:tcBorders>
            <w:vAlign w:val="top"/>
          </w:tcPr>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both"/>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为企业开展科技培训次数：</w:t>
            </w:r>
          </w:p>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both"/>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指导企业申报项目数：</w:t>
            </w:r>
          </w:p>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both"/>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其他服务情况：</w:t>
            </w:r>
          </w:p>
        </w:tc>
        <w:tc>
          <w:tcPr>
            <w:tcW w:w="3246" w:type="dxa"/>
            <w:gridSpan w:val="5"/>
            <w:tcBorders>
              <w:left w:val="nil"/>
            </w:tcBorders>
            <w:vAlign w:val="top"/>
          </w:tcPr>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both"/>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为企业举办产学研次数：</w:t>
            </w:r>
          </w:p>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both"/>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为企业引进人才情况：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8" w:hRule="atLeast"/>
          <w:jc w:val="center"/>
        </w:trPr>
        <w:tc>
          <w:tcPr>
            <w:tcW w:w="8822" w:type="dxa"/>
            <w:gridSpan w:val="13"/>
            <w:tcBorders>
              <w:bottom w:val="single" w:color="000000" w:sz="6" w:space="0"/>
            </w:tcBorders>
            <w:vAlign w:val="center"/>
          </w:tcPr>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被服务企业的特色案例情况（列举8家以上）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8" w:hRule="atLeast"/>
          <w:jc w:val="center"/>
        </w:trPr>
        <w:tc>
          <w:tcPr>
            <w:tcW w:w="409" w:type="dxa"/>
            <w:tcBorders>
              <w:top w:val="single" w:color="000000" w:sz="6" w:space="0"/>
              <w:bottom w:val="single" w:color="000000" w:sz="4" w:space="0"/>
            </w:tcBorders>
            <w:vAlign w:val="center"/>
          </w:tcPr>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序号</w:t>
            </w:r>
          </w:p>
        </w:tc>
        <w:tc>
          <w:tcPr>
            <w:tcW w:w="1617" w:type="dxa"/>
            <w:tcBorders>
              <w:top w:val="single" w:color="000000" w:sz="6" w:space="0"/>
              <w:bottom w:val="single" w:color="000000" w:sz="4" w:space="0"/>
            </w:tcBorders>
            <w:vAlign w:val="center"/>
          </w:tcPr>
          <w:p>
            <w:pPr>
              <w:keepNext w:val="0"/>
              <w:keepLines w:val="0"/>
              <w:pageBreakBefore w:val="0"/>
              <w:widowControl/>
              <w:kinsoku/>
              <w:wordWrap/>
              <w:overflowPunct/>
              <w:topLinePunct w:val="0"/>
              <w:autoSpaceDE w:val="0"/>
              <w:autoSpaceDN w:val="0"/>
              <w:bidi w:val="0"/>
              <w:adjustRightInd w:val="0"/>
              <w:snapToGrid w:val="0"/>
              <w:spacing w:line="360" w:lineRule="exact"/>
              <w:ind w:left="0" w:right="0" w:hanging="362"/>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被服务企业名称</w:t>
            </w:r>
          </w:p>
        </w:tc>
        <w:tc>
          <w:tcPr>
            <w:tcW w:w="1105" w:type="dxa"/>
            <w:tcBorders>
              <w:top w:val="single" w:color="000000" w:sz="6" w:space="0"/>
              <w:bottom w:val="single" w:color="000000" w:sz="4" w:space="0"/>
            </w:tcBorders>
            <w:vAlign w:val="center"/>
          </w:tcPr>
          <w:p>
            <w:pPr>
              <w:keepNext w:val="0"/>
              <w:keepLines w:val="0"/>
              <w:pageBreakBefore w:val="0"/>
              <w:widowControl/>
              <w:kinsoku/>
              <w:wordWrap/>
              <w:overflowPunct/>
              <w:topLinePunct w:val="0"/>
              <w:autoSpaceDE w:val="0"/>
              <w:autoSpaceDN w:val="0"/>
              <w:bidi w:val="0"/>
              <w:adjustRightInd w:val="0"/>
              <w:snapToGrid w:val="0"/>
              <w:spacing w:line="360" w:lineRule="exact"/>
              <w:ind w:left="0" w:right="0" w:firstLine="77"/>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总收入（万元）</w:t>
            </w:r>
          </w:p>
        </w:tc>
        <w:tc>
          <w:tcPr>
            <w:tcW w:w="952" w:type="dxa"/>
            <w:gridSpan w:val="2"/>
            <w:tcBorders>
              <w:top w:val="single" w:color="000000" w:sz="6" w:space="0"/>
              <w:bottom w:val="single" w:color="000000" w:sz="4" w:space="0"/>
            </w:tcBorders>
            <w:vAlign w:val="center"/>
          </w:tcPr>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职工</w:t>
            </w:r>
          </w:p>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人数</w:t>
            </w:r>
          </w:p>
        </w:tc>
        <w:tc>
          <w:tcPr>
            <w:tcW w:w="1493" w:type="dxa"/>
            <w:gridSpan w:val="3"/>
            <w:tcBorders>
              <w:top w:val="single" w:color="000000" w:sz="6" w:space="0"/>
              <w:bottom w:val="single" w:color="000000" w:sz="4" w:space="0"/>
            </w:tcBorders>
            <w:vAlign w:val="center"/>
          </w:tcPr>
          <w:p>
            <w:pPr>
              <w:keepNext w:val="0"/>
              <w:keepLines w:val="0"/>
              <w:pageBreakBefore w:val="0"/>
              <w:widowControl/>
              <w:kinsoku/>
              <w:wordWrap/>
              <w:overflowPunct/>
              <w:topLinePunct w:val="0"/>
              <w:autoSpaceDE w:val="0"/>
              <w:autoSpaceDN w:val="0"/>
              <w:bidi w:val="0"/>
              <w:adjustRightInd w:val="0"/>
              <w:snapToGrid w:val="0"/>
              <w:spacing w:line="360" w:lineRule="exact"/>
              <w:ind w:left="0" w:right="0" w:hanging="3"/>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企业主营业务</w:t>
            </w:r>
          </w:p>
        </w:tc>
        <w:tc>
          <w:tcPr>
            <w:tcW w:w="816" w:type="dxa"/>
            <w:tcBorders>
              <w:top w:val="single" w:color="000000" w:sz="6" w:space="0"/>
              <w:bottom w:val="single" w:color="000000" w:sz="4" w:space="0"/>
            </w:tcBorders>
            <w:vAlign w:val="center"/>
          </w:tcPr>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服务</w:t>
            </w:r>
          </w:p>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内容</w:t>
            </w:r>
          </w:p>
        </w:tc>
        <w:tc>
          <w:tcPr>
            <w:tcW w:w="802" w:type="dxa"/>
            <w:gridSpan w:val="2"/>
            <w:tcBorders>
              <w:top w:val="single" w:color="000000" w:sz="6" w:space="0"/>
              <w:bottom w:val="single" w:color="000000" w:sz="4" w:space="0"/>
            </w:tcBorders>
            <w:vAlign w:val="center"/>
          </w:tcPr>
          <w:p>
            <w:pPr>
              <w:keepNext w:val="0"/>
              <w:keepLines w:val="0"/>
              <w:pageBreakBefore w:val="0"/>
              <w:widowControl/>
              <w:kinsoku/>
              <w:wordWrap/>
              <w:overflowPunct/>
              <w:topLinePunct w:val="0"/>
              <w:autoSpaceDE w:val="0"/>
              <w:autoSpaceDN w:val="0"/>
              <w:bidi w:val="0"/>
              <w:adjustRightInd w:val="0"/>
              <w:snapToGrid w:val="0"/>
              <w:spacing w:line="360" w:lineRule="exact"/>
              <w:ind w:left="0" w:right="0" w:hanging="3"/>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服务</w:t>
            </w:r>
          </w:p>
          <w:p>
            <w:pPr>
              <w:keepNext w:val="0"/>
              <w:keepLines w:val="0"/>
              <w:pageBreakBefore w:val="0"/>
              <w:widowControl/>
              <w:kinsoku/>
              <w:wordWrap/>
              <w:overflowPunct/>
              <w:topLinePunct w:val="0"/>
              <w:autoSpaceDE w:val="0"/>
              <w:autoSpaceDN w:val="0"/>
              <w:bidi w:val="0"/>
              <w:adjustRightInd w:val="0"/>
              <w:snapToGrid w:val="0"/>
              <w:spacing w:line="360" w:lineRule="exact"/>
              <w:ind w:left="0" w:right="0" w:hanging="3"/>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项次</w:t>
            </w:r>
          </w:p>
        </w:tc>
        <w:tc>
          <w:tcPr>
            <w:tcW w:w="926" w:type="dxa"/>
            <w:tcBorders>
              <w:top w:val="single" w:color="000000" w:sz="6" w:space="0"/>
              <w:bottom w:val="single" w:color="000000" w:sz="4" w:space="0"/>
            </w:tcBorders>
            <w:vAlign w:val="center"/>
          </w:tcPr>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联系人</w:t>
            </w:r>
          </w:p>
        </w:tc>
        <w:tc>
          <w:tcPr>
            <w:tcW w:w="702" w:type="dxa"/>
            <w:tcBorders>
              <w:top w:val="single" w:color="000000" w:sz="6" w:space="0"/>
              <w:bottom w:val="single" w:color="000000" w:sz="4" w:space="0"/>
            </w:tcBorders>
            <w:vAlign w:val="center"/>
          </w:tcPr>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电话</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 w:hRule="atLeast"/>
          <w:jc w:val="center"/>
        </w:trPr>
        <w:tc>
          <w:tcPr>
            <w:tcW w:w="409"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1617"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1105"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952" w:type="dxa"/>
            <w:gridSpan w:val="2"/>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1493" w:type="dxa"/>
            <w:gridSpan w:val="3"/>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816"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802" w:type="dxa"/>
            <w:gridSpan w:val="2"/>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926"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702"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 w:hRule="atLeast"/>
          <w:jc w:val="center"/>
        </w:trPr>
        <w:tc>
          <w:tcPr>
            <w:tcW w:w="409"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1617"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1105"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952" w:type="dxa"/>
            <w:gridSpan w:val="2"/>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1493" w:type="dxa"/>
            <w:gridSpan w:val="3"/>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816"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802" w:type="dxa"/>
            <w:gridSpan w:val="2"/>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926"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702"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 w:hRule="atLeast"/>
          <w:jc w:val="center"/>
        </w:trPr>
        <w:tc>
          <w:tcPr>
            <w:tcW w:w="409"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1617"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1105"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952" w:type="dxa"/>
            <w:gridSpan w:val="2"/>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1493" w:type="dxa"/>
            <w:gridSpan w:val="3"/>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816"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802" w:type="dxa"/>
            <w:gridSpan w:val="2"/>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926"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702"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 w:hRule="atLeast"/>
          <w:jc w:val="center"/>
        </w:trPr>
        <w:tc>
          <w:tcPr>
            <w:tcW w:w="409"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1617"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1105"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952" w:type="dxa"/>
            <w:gridSpan w:val="2"/>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1493" w:type="dxa"/>
            <w:gridSpan w:val="3"/>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816"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802" w:type="dxa"/>
            <w:gridSpan w:val="2"/>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926"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702"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 w:hRule="atLeast"/>
          <w:jc w:val="center"/>
        </w:trPr>
        <w:tc>
          <w:tcPr>
            <w:tcW w:w="409"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1617"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1106" w:type="dxa"/>
            <w:gridSpan w:val="2"/>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952" w:type="dxa"/>
            <w:gridSpan w:val="2"/>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1492" w:type="dxa"/>
            <w:gridSpan w:val="2"/>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816"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802" w:type="dxa"/>
            <w:gridSpan w:val="2"/>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926"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702"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 w:hRule="atLeast"/>
          <w:jc w:val="center"/>
        </w:trPr>
        <w:tc>
          <w:tcPr>
            <w:tcW w:w="409"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1617"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1106" w:type="dxa"/>
            <w:gridSpan w:val="2"/>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952" w:type="dxa"/>
            <w:gridSpan w:val="2"/>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1492" w:type="dxa"/>
            <w:gridSpan w:val="2"/>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816"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802" w:type="dxa"/>
            <w:gridSpan w:val="2"/>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926"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702"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 w:hRule="atLeast"/>
          <w:jc w:val="center"/>
        </w:trPr>
        <w:tc>
          <w:tcPr>
            <w:tcW w:w="409"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1617"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1106" w:type="dxa"/>
            <w:gridSpan w:val="2"/>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952" w:type="dxa"/>
            <w:gridSpan w:val="2"/>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1492" w:type="dxa"/>
            <w:gridSpan w:val="2"/>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816"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802" w:type="dxa"/>
            <w:gridSpan w:val="2"/>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926"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702"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 w:hRule="atLeast"/>
          <w:jc w:val="center"/>
        </w:trPr>
        <w:tc>
          <w:tcPr>
            <w:tcW w:w="409"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1617"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1106" w:type="dxa"/>
            <w:gridSpan w:val="2"/>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952" w:type="dxa"/>
            <w:gridSpan w:val="2"/>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1492" w:type="dxa"/>
            <w:gridSpan w:val="2"/>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816"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802" w:type="dxa"/>
            <w:gridSpan w:val="2"/>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926"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c>
          <w:tcPr>
            <w:tcW w:w="702" w:type="dxa"/>
            <w:tcBorders>
              <w:top w:val="single" w:color="000000" w:sz="4" w:space="0"/>
              <w:bottom w:val="single" w:color="000000" w:sz="4" w:space="0"/>
            </w:tcBorders>
            <w:vAlign w:val="center"/>
          </w:tcPr>
          <w:p>
            <w:pPr>
              <w:pStyle w:val="8"/>
              <w:keepNext w:val="0"/>
              <w:keepLines w:val="0"/>
              <w:pageBreakBefore w:val="0"/>
              <w:widowControl/>
              <w:kinsoku/>
              <w:wordWrap/>
              <w:overflowPunct/>
              <w:topLinePunct w:val="0"/>
              <w:autoSpaceDE w:val="0"/>
              <w:autoSpaceDN w:val="0"/>
              <w:bidi w:val="0"/>
              <w:adjustRightInd w:val="0"/>
              <w:snapToGrid w:val="0"/>
              <w:spacing w:line="360" w:lineRule="exact"/>
              <w:ind w:left="0" w:right="0"/>
              <w:jc w:val="center"/>
              <w:textAlignment w:val="baseline"/>
              <w:rPr>
                <w:rFonts w:hint="eastAsia" w:ascii="Times New Roman" w:hAnsi="Times New Roman" w:eastAsia="黑体" w:cs="黑体"/>
                <w:spacing w:val="0"/>
                <w:position w:val="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9" w:hRule="atLeast"/>
          <w:jc w:val="center"/>
        </w:trPr>
        <w:tc>
          <w:tcPr>
            <w:tcW w:w="8822" w:type="dxa"/>
            <w:gridSpan w:val="13"/>
            <w:tcBorders>
              <w:top w:val="single" w:color="000000" w:sz="4" w:space="0"/>
            </w:tcBorders>
            <w:vAlign w:val="top"/>
          </w:tcPr>
          <w:p>
            <w:pPr>
              <w:keepNext w:val="0"/>
              <w:keepLines w:val="0"/>
              <w:pageBreakBefore w:val="0"/>
              <w:widowControl/>
              <w:kinsoku/>
              <w:wordWrap/>
              <w:overflowPunct/>
              <w:topLinePunct w:val="0"/>
              <w:autoSpaceDE w:val="0"/>
              <w:autoSpaceDN w:val="0"/>
              <w:bidi w:val="0"/>
              <w:adjustRightInd w:val="0"/>
              <w:snapToGrid w:val="0"/>
              <w:spacing w:before="0" w:beforeLines="50" w:line="360" w:lineRule="exact"/>
              <w:ind w:left="0" w:right="0" w:firstLine="480" w:firstLineChars="200"/>
              <w:jc w:val="both"/>
              <w:textAlignment w:val="baseline"/>
              <w:rPr>
                <w:rFonts w:hint="eastAsia" w:ascii="黑体" w:hAnsi="黑体" w:eastAsia="黑体" w:cs="黑体"/>
                <w:b w:val="0"/>
                <w:bCs w:val="0"/>
                <w:spacing w:val="0"/>
                <w:position w:val="0"/>
                <w:sz w:val="24"/>
                <w:szCs w:val="24"/>
              </w:rPr>
            </w:pPr>
            <w:r>
              <w:rPr>
                <w:rFonts w:hint="eastAsia" w:ascii="黑体" w:hAnsi="黑体" w:eastAsia="黑体" w:cs="黑体"/>
                <w:b w:val="0"/>
                <w:bCs w:val="0"/>
                <w:spacing w:val="0"/>
                <w:position w:val="0"/>
                <w:sz w:val="24"/>
                <w:szCs w:val="24"/>
              </w:rPr>
              <w:t>服务典型案例（1000字左右）</w:t>
            </w:r>
          </w:p>
          <w:p>
            <w:pPr>
              <w:keepNext w:val="0"/>
              <w:keepLines w:val="0"/>
              <w:pageBreakBefore w:val="0"/>
              <w:widowControl/>
              <w:kinsoku/>
              <w:wordWrap/>
              <w:overflowPunct/>
              <w:topLinePunct w:val="0"/>
              <w:autoSpaceDE w:val="0"/>
              <w:autoSpaceDN w:val="0"/>
              <w:bidi w:val="0"/>
              <w:adjustRightInd w:val="0"/>
              <w:snapToGrid w:val="0"/>
              <w:spacing w:before="0" w:line="360" w:lineRule="exact"/>
              <w:ind w:left="42" w:leftChars="20" w:right="42" w:rightChars="20" w:firstLine="480" w:firstLineChars="200"/>
              <w:jc w:val="both"/>
              <w:textAlignment w:val="baseline"/>
              <w:rPr>
                <w:rFonts w:hint="eastAsia" w:ascii="Times New Roman" w:hAnsi="Times New Roman" w:eastAsia="黑体" w:cs="黑体"/>
                <w:spacing w:val="0"/>
                <w:position w:val="0"/>
                <w:sz w:val="24"/>
                <w:szCs w:val="24"/>
              </w:rPr>
            </w:pPr>
            <w:r>
              <w:rPr>
                <w:rFonts w:hint="eastAsia" w:ascii="仿宋_GB2312" w:hAnsi="仿宋_GB2312" w:eastAsia="仿宋_GB2312" w:cs="仿宋_GB2312"/>
                <w:spacing w:val="0"/>
                <w:position w:val="0"/>
                <w:sz w:val="24"/>
                <w:szCs w:val="24"/>
              </w:rPr>
              <w:t>提供3-5家服务企业典型案例，分别介绍为企业提供的服务内容、所做的主要工作、服务机构发挥的作用和取得成效。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9" w:hRule="atLeast"/>
          <w:jc w:val="center"/>
        </w:trPr>
        <w:tc>
          <w:tcPr>
            <w:tcW w:w="8822" w:type="dxa"/>
            <w:gridSpan w:val="13"/>
            <w:vAlign w:val="top"/>
          </w:tcPr>
          <w:p>
            <w:pPr>
              <w:keepNext w:val="0"/>
              <w:keepLines w:val="0"/>
              <w:pageBreakBefore w:val="0"/>
              <w:widowControl/>
              <w:kinsoku/>
              <w:wordWrap/>
              <w:overflowPunct/>
              <w:topLinePunct w:val="0"/>
              <w:autoSpaceDE w:val="0"/>
              <w:autoSpaceDN w:val="0"/>
              <w:bidi w:val="0"/>
              <w:adjustRightInd w:val="0"/>
              <w:snapToGrid w:val="0"/>
              <w:spacing w:before="0" w:beforeLines="50" w:line="360" w:lineRule="exact"/>
              <w:ind w:left="0" w:right="0" w:firstLine="480" w:firstLineChars="200"/>
              <w:jc w:val="both"/>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申报单位承诺：</w:t>
            </w:r>
          </w:p>
          <w:p>
            <w:pPr>
              <w:keepNext w:val="0"/>
              <w:keepLines w:val="0"/>
              <w:pageBreakBefore w:val="0"/>
              <w:widowControl/>
              <w:kinsoku/>
              <w:wordWrap/>
              <w:overflowPunct/>
              <w:topLinePunct w:val="0"/>
              <w:autoSpaceDE w:val="0"/>
              <w:autoSpaceDN w:val="0"/>
              <w:bidi w:val="0"/>
              <w:adjustRightInd w:val="0"/>
              <w:snapToGrid w:val="0"/>
              <w:spacing w:line="360" w:lineRule="exact"/>
              <w:ind w:left="42" w:leftChars="20" w:right="42" w:rightChars="20" w:firstLine="480" w:firstLineChars="200"/>
              <w:jc w:val="both"/>
              <w:textAlignment w:val="baseline"/>
              <w:rPr>
                <w:rFonts w:hint="eastAsia" w:ascii="仿宋_GB2312" w:hAnsi="仿宋_GB2312" w:eastAsia="仿宋_GB2312" w:cs="仿宋_GB2312"/>
                <w:spacing w:val="0"/>
                <w:position w:val="0"/>
                <w:sz w:val="24"/>
                <w:szCs w:val="24"/>
              </w:rPr>
            </w:pPr>
            <w:r>
              <w:rPr>
                <w:rFonts w:hint="eastAsia" w:ascii="仿宋_GB2312" w:hAnsi="仿宋_GB2312" w:eastAsia="仿宋_GB2312" w:cs="仿宋_GB2312"/>
                <w:spacing w:val="0"/>
                <w:position w:val="0"/>
                <w:sz w:val="24"/>
                <w:szCs w:val="24"/>
              </w:rPr>
              <w:t>我单位保证上述填报内容及所提供的附件材料真实、有效，如有不实，我单位承担由此引起的一切责任。</w:t>
            </w:r>
          </w:p>
          <w:p>
            <w:pPr>
              <w:keepNext w:val="0"/>
              <w:keepLines w:val="0"/>
              <w:pageBreakBefore w:val="0"/>
              <w:widowControl/>
              <w:kinsoku/>
              <w:wordWrap/>
              <w:overflowPunct/>
              <w:topLinePunct w:val="0"/>
              <w:autoSpaceDE w:val="0"/>
              <w:autoSpaceDN w:val="0"/>
              <w:bidi w:val="0"/>
              <w:adjustRightInd w:val="0"/>
              <w:snapToGrid w:val="0"/>
              <w:spacing w:line="360" w:lineRule="exact"/>
              <w:ind w:left="0" w:right="0" w:firstLine="480" w:firstLineChars="200"/>
              <w:jc w:val="both"/>
              <w:textAlignment w:val="baseline"/>
              <w:rPr>
                <w:rFonts w:hint="eastAsia" w:ascii="Times New Roman" w:hAnsi="Times New Roman" w:eastAsia="黑体" w:cs="黑体"/>
                <w:spacing w:val="0"/>
                <w:position w:val="0"/>
                <w:sz w:val="24"/>
                <w:szCs w:val="24"/>
              </w:rPr>
            </w:pPr>
          </w:p>
          <w:p>
            <w:pPr>
              <w:keepNext w:val="0"/>
              <w:keepLines w:val="0"/>
              <w:pageBreakBefore w:val="0"/>
              <w:widowControl/>
              <w:kinsoku/>
              <w:wordWrap/>
              <w:overflowPunct/>
              <w:topLinePunct w:val="0"/>
              <w:autoSpaceDE w:val="0"/>
              <w:autoSpaceDN w:val="0"/>
              <w:bidi w:val="0"/>
              <w:adjustRightInd w:val="0"/>
              <w:snapToGrid w:val="0"/>
              <w:spacing w:line="360" w:lineRule="exact"/>
              <w:ind w:left="0" w:right="0" w:firstLine="480" w:firstLineChars="200"/>
              <w:jc w:val="both"/>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单位法人签字：</w:t>
            </w:r>
          </w:p>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both"/>
              <w:textAlignment w:val="baseline"/>
              <w:rPr>
                <w:rFonts w:hint="eastAsia" w:ascii="Times New Roman" w:hAnsi="Times New Roman" w:eastAsia="黑体" w:cs="黑体"/>
                <w:spacing w:val="0"/>
                <w:position w:val="0"/>
                <w:sz w:val="24"/>
                <w:szCs w:val="24"/>
              </w:rPr>
            </w:pPr>
          </w:p>
          <w:p>
            <w:pPr>
              <w:keepNext w:val="0"/>
              <w:keepLines w:val="0"/>
              <w:pageBreakBefore w:val="0"/>
              <w:widowControl/>
              <w:kinsoku/>
              <w:wordWrap/>
              <w:overflowPunct/>
              <w:topLinePunct w:val="0"/>
              <w:autoSpaceDE w:val="0"/>
              <w:autoSpaceDN w:val="0"/>
              <w:bidi w:val="0"/>
              <w:adjustRightInd w:val="0"/>
              <w:snapToGrid w:val="0"/>
              <w:spacing w:line="360" w:lineRule="exact"/>
              <w:ind w:left="0" w:right="0"/>
              <w:jc w:val="both"/>
              <w:textAlignment w:val="baseline"/>
              <w:rPr>
                <w:rFonts w:hint="eastAsia" w:ascii="Times New Roman" w:hAnsi="Times New Roman" w:eastAsia="黑体" w:cs="黑体"/>
                <w:spacing w:val="0"/>
                <w:position w:val="0"/>
                <w:sz w:val="24"/>
                <w:szCs w:val="24"/>
              </w:rPr>
            </w:pPr>
          </w:p>
          <w:p>
            <w:pPr>
              <w:keepNext w:val="0"/>
              <w:keepLines w:val="0"/>
              <w:pageBreakBefore w:val="0"/>
              <w:widowControl/>
              <w:kinsoku/>
              <w:wordWrap/>
              <w:overflowPunct/>
              <w:topLinePunct w:val="0"/>
              <w:autoSpaceDE w:val="0"/>
              <w:autoSpaceDN w:val="0"/>
              <w:bidi w:val="0"/>
              <w:adjustRightInd w:val="0"/>
              <w:snapToGrid w:val="0"/>
              <w:spacing w:line="360" w:lineRule="exact"/>
              <w:ind w:right="0" w:firstLine="7680" w:firstLineChars="3200"/>
              <w:jc w:val="both"/>
              <w:textAlignment w:val="baseline"/>
              <w:rPr>
                <w:rFonts w:hint="eastAsia" w:ascii="Times New Roman" w:hAnsi="Times New Roman" w:eastAsia="黑体" w:cs="黑体"/>
                <w:spacing w:val="0"/>
                <w:position w:val="0"/>
                <w:sz w:val="24"/>
                <w:szCs w:val="24"/>
              </w:rPr>
            </w:pPr>
          </w:p>
          <w:p>
            <w:pPr>
              <w:keepNext w:val="0"/>
              <w:keepLines w:val="0"/>
              <w:pageBreakBefore w:val="0"/>
              <w:widowControl/>
              <w:kinsoku/>
              <w:wordWrap/>
              <w:overflowPunct/>
              <w:topLinePunct w:val="0"/>
              <w:autoSpaceDE w:val="0"/>
              <w:autoSpaceDN w:val="0"/>
              <w:bidi w:val="0"/>
              <w:adjustRightInd w:val="0"/>
              <w:snapToGrid w:val="0"/>
              <w:spacing w:line="360" w:lineRule="exact"/>
              <w:ind w:right="0" w:firstLine="7680" w:firstLineChars="3200"/>
              <w:jc w:val="both"/>
              <w:textAlignment w:val="baseline"/>
              <w:rPr>
                <w:rFonts w:hint="eastAsia" w:ascii="Times New Roman" w:hAnsi="Times New Roman" w:eastAsia="黑体" w:cs="黑体"/>
                <w:spacing w:val="0"/>
                <w:position w:val="0"/>
                <w:sz w:val="24"/>
                <w:szCs w:val="24"/>
              </w:rPr>
            </w:pPr>
          </w:p>
          <w:p>
            <w:pPr>
              <w:keepNext w:val="0"/>
              <w:keepLines w:val="0"/>
              <w:pageBreakBefore w:val="0"/>
              <w:widowControl/>
              <w:kinsoku/>
              <w:wordWrap/>
              <w:overflowPunct/>
              <w:topLinePunct w:val="0"/>
              <w:autoSpaceDE w:val="0"/>
              <w:autoSpaceDN w:val="0"/>
              <w:bidi w:val="0"/>
              <w:adjustRightInd w:val="0"/>
              <w:snapToGrid w:val="0"/>
              <w:spacing w:line="360" w:lineRule="exact"/>
              <w:ind w:right="0" w:firstLine="7680" w:firstLineChars="3200"/>
              <w:jc w:val="both"/>
              <w:textAlignment w:val="baseline"/>
              <w:rPr>
                <w:rFonts w:hint="eastAsia" w:ascii="Times New Roman" w:hAnsi="Times New Roman" w:eastAsia="黑体" w:cs="黑体"/>
                <w:spacing w:val="0"/>
                <w:position w:val="0"/>
                <w:sz w:val="24"/>
                <w:szCs w:val="24"/>
              </w:rPr>
            </w:pPr>
          </w:p>
          <w:p>
            <w:pPr>
              <w:keepNext w:val="0"/>
              <w:keepLines w:val="0"/>
              <w:pageBreakBefore w:val="0"/>
              <w:widowControl/>
              <w:kinsoku/>
              <w:wordWrap/>
              <w:overflowPunct/>
              <w:topLinePunct w:val="0"/>
              <w:autoSpaceDE w:val="0"/>
              <w:autoSpaceDN w:val="0"/>
              <w:bidi w:val="0"/>
              <w:adjustRightInd w:val="0"/>
              <w:snapToGrid w:val="0"/>
              <w:spacing w:line="360" w:lineRule="exact"/>
              <w:ind w:right="0" w:firstLine="7680" w:firstLineChars="3200"/>
              <w:jc w:val="both"/>
              <w:textAlignment w:val="baseline"/>
              <w:rPr>
                <w:rFonts w:hint="eastAsia" w:ascii="Times New Roman" w:hAnsi="Times New Roman" w:eastAsia="黑体" w:cs="黑体"/>
                <w:spacing w:val="0"/>
                <w:position w:val="0"/>
                <w:sz w:val="24"/>
                <w:szCs w:val="24"/>
              </w:rPr>
            </w:pPr>
          </w:p>
          <w:p>
            <w:pPr>
              <w:keepNext w:val="0"/>
              <w:keepLines w:val="0"/>
              <w:pageBreakBefore w:val="0"/>
              <w:widowControl/>
              <w:kinsoku/>
              <w:wordWrap/>
              <w:overflowPunct/>
              <w:topLinePunct w:val="0"/>
              <w:autoSpaceDE w:val="0"/>
              <w:autoSpaceDN w:val="0"/>
              <w:bidi w:val="0"/>
              <w:adjustRightInd w:val="0"/>
              <w:snapToGrid w:val="0"/>
              <w:spacing w:line="360" w:lineRule="exact"/>
              <w:ind w:right="0" w:firstLine="7200" w:firstLineChars="3000"/>
              <w:jc w:val="both"/>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（单位盖章）</w:t>
            </w:r>
          </w:p>
          <w:p>
            <w:pPr>
              <w:keepNext w:val="0"/>
              <w:keepLines w:val="0"/>
              <w:pageBreakBefore w:val="0"/>
              <w:widowControl/>
              <w:kinsoku/>
              <w:wordWrap/>
              <w:overflowPunct/>
              <w:topLinePunct w:val="0"/>
              <w:autoSpaceDE w:val="0"/>
              <w:autoSpaceDN w:val="0"/>
              <w:bidi w:val="0"/>
              <w:adjustRightInd w:val="0"/>
              <w:snapToGrid w:val="0"/>
              <w:spacing w:line="360" w:lineRule="exact"/>
              <w:ind w:right="0" w:firstLine="7200" w:firstLineChars="3000"/>
              <w:jc w:val="both"/>
              <w:textAlignment w:val="baseline"/>
              <w:rPr>
                <w:rFonts w:hint="eastAsia" w:ascii="Times New Roman" w:hAnsi="Times New Roman" w:eastAsia="黑体" w:cs="黑体"/>
                <w:spacing w:val="0"/>
                <w:position w:val="0"/>
                <w:sz w:val="24"/>
                <w:szCs w:val="24"/>
              </w:rPr>
            </w:pPr>
            <w:r>
              <w:rPr>
                <w:rFonts w:hint="eastAsia" w:ascii="Times New Roman" w:hAnsi="Times New Roman" w:eastAsia="黑体" w:cs="黑体"/>
                <w:spacing w:val="0"/>
                <w:position w:val="0"/>
                <w:sz w:val="24"/>
                <w:szCs w:val="24"/>
              </w:rPr>
              <w:t>年</w:t>
            </w:r>
            <w:r>
              <w:rPr>
                <w:rFonts w:hint="eastAsia" w:ascii="Times New Roman" w:hAnsi="Times New Roman" w:eastAsia="黑体" w:cs="黑体"/>
                <w:spacing w:val="0"/>
                <w:position w:val="0"/>
                <w:sz w:val="24"/>
                <w:szCs w:val="24"/>
                <w:lang w:val="en-US" w:eastAsia="zh-CN"/>
              </w:rPr>
              <w:t xml:space="preserve">     </w:t>
            </w:r>
            <w:r>
              <w:rPr>
                <w:rFonts w:hint="eastAsia" w:ascii="Times New Roman" w:hAnsi="Times New Roman" w:eastAsia="黑体" w:cs="黑体"/>
                <w:spacing w:val="0"/>
                <w:position w:val="0"/>
                <w:sz w:val="24"/>
                <w:szCs w:val="24"/>
              </w:rPr>
              <w:t xml:space="preserve">月 </w:t>
            </w:r>
            <w:r>
              <w:rPr>
                <w:rFonts w:hint="eastAsia" w:ascii="Times New Roman" w:hAnsi="Times New Roman" w:eastAsia="黑体" w:cs="黑体"/>
                <w:spacing w:val="0"/>
                <w:position w:val="0"/>
                <w:sz w:val="24"/>
                <w:szCs w:val="24"/>
                <w:lang w:val="en-US" w:eastAsia="zh-CN"/>
              </w:rPr>
              <w:t xml:space="preserve">     </w:t>
            </w:r>
            <w:r>
              <w:rPr>
                <w:rFonts w:hint="eastAsia" w:ascii="Times New Roman" w:hAnsi="Times New Roman" w:eastAsia="黑体" w:cs="黑体"/>
                <w:spacing w:val="0"/>
                <w:position w:val="0"/>
                <w:sz w:val="24"/>
                <w:szCs w:val="24"/>
              </w:rPr>
              <w:t>日</w:t>
            </w:r>
          </w:p>
        </w:tc>
      </w:tr>
    </w:tbl>
    <w:p>
      <w:pPr>
        <w:pStyle w:val="2"/>
      </w:pPr>
    </w:p>
    <w:p>
      <w:pPr>
        <w:sectPr>
          <w:footerReference r:id="rId7" w:type="default"/>
          <w:pgSz w:w="11906" w:h="16838"/>
          <w:pgMar w:top="2098" w:right="1531" w:bottom="1984" w:left="1531" w:header="0" w:footer="1366" w:gutter="0"/>
          <w:pgNumType w:fmt="decimal"/>
          <w:cols w:space="0" w:num="1"/>
          <w:rtlGutter w:val="0"/>
          <w:docGrid w:linePitch="0" w:charSpace="0"/>
        </w:sectPr>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2" w:lineRule="auto"/>
      </w:pPr>
    </w:p>
    <w:p>
      <w:pPr>
        <w:pStyle w:val="2"/>
        <w:spacing w:line="242" w:lineRule="auto"/>
      </w:pPr>
    </w:p>
    <w:tbl>
      <w:tblPr>
        <w:tblStyle w:val="5"/>
        <w:tblpPr w:leftFromText="180" w:rightFromText="180" w:vertAnchor="text" w:horzAnchor="page" w:tblpX="1442" w:tblpY="560"/>
        <w:tblOverlap w:val="never"/>
        <w:tblW w:w="0" w:type="auto"/>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9060" w:type="dxa"/>
            <w:vAlign w:val="center"/>
          </w:tcPr>
          <w:p>
            <w:pPr>
              <w:keepNext w:val="0"/>
              <w:keepLines w:val="0"/>
              <w:pageBreakBefore w:val="0"/>
              <w:widowControl/>
              <w:kinsoku w:val="0"/>
              <w:wordWrap/>
              <w:overflowPunct/>
              <w:topLinePunct w:val="0"/>
              <w:autoSpaceDE w:val="0"/>
              <w:autoSpaceDN w:val="0"/>
              <w:bidi w:val="0"/>
              <w:adjustRightInd w:val="0"/>
              <w:snapToGrid w:val="0"/>
              <w:spacing w:line="460" w:lineRule="exact"/>
              <w:ind w:firstLine="280" w:firstLineChars="100"/>
              <w:jc w:val="both"/>
              <w:textAlignment w:val="baseline"/>
              <w:rPr>
                <w:rFonts w:ascii="Times New Roman" w:hAnsi="Times New Roman" w:eastAsia="仿宋" w:cs="仿宋"/>
                <w:spacing w:val="0"/>
                <w:sz w:val="28"/>
                <w:szCs w:val="28"/>
                <w:vertAlign w:val="baseline"/>
              </w:rPr>
            </w:pPr>
            <w:r>
              <w:rPr>
                <w:rFonts w:hint="eastAsia" w:ascii="Times New Roman" w:hAnsi="Times New Roman" w:eastAsia="仿宋_GB2312" w:cs="仿宋_GB2312"/>
                <w:spacing w:val="0"/>
                <w:sz w:val="28"/>
                <w:szCs w:val="28"/>
                <w:vertAlign w:val="baseline"/>
              </w:rPr>
              <w:t xml:space="preserve">新余市渝水区人民政府办公室             </w:t>
            </w:r>
            <w:r>
              <w:rPr>
                <w:rFonts w:hint="eastAsia" w:ascii="Times New Roman" w:hAnsi="Times New Roman" w:eastAsia="仿宋_GB2312" w:cs="仿宋_GB2312"/>
                <w:spacing w:val="0"/>
                <w:sz w:val="28"/>
                <w:szCs w:val="28"/>
                <w:vertAlign w:val="baseline"/>
                <w:lang w:val="en-US" w:eastAsia="zh-CN"/>
              </w:rPr>
              <w:t xml:space="preserve">                   </w:t>
            </w:r>
            <w:r>
              <w:rPr>
                <w:rFonts w:hint="eastAsia" w:ascii="Times New Roman" w:hAnsi="Times New Roman" w:eastAsia="仿宋_GB2312" w:cs="仿宋_GB2312"/>
                <w:spacing w:val="0"/>
                <w:sz w:val="28"/>
                <w:szCs w:val="28"/>
                <w:vertAlign w:val="baseline"/>
              </w:rPr>
              <w:t xml:space="preserve"> 2022 年9月20日印发</w:t>
            </w:r>
          </w:p>
        </w:tc>
      </w:tr>
    </w:tbl>
    <w:p>
      <w:pPr>
        <w:pStyle w:val="2"/>
        <w:spacing w:line="242" w:lineRule="auto"/>
      </w:pPr>
    </w:p>
    <w:sectPr>
      <w:footerReference r:id="rId8" w:type="default"/>
      <w:pgSz w:w="11906" w:h="16838"/>
      <w:pgMar w:top="2098" w:right="1531" w:bottom="1984" w:left="1531" w:header="0" w:footer="1366" w:gutter="0"/>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3" w:lineRule="auto"/>
      <w:ind w:left="7571"/>
      <w:rPr>
        <w:rFonts w:ascii="新宋体" w:hAnsi="新宋体" w:eastAsia="新宋体" w:cs="新宋体"/>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3" w:lineRule="auto"/>
      <w:ind w:left="8051"/>
      <w:rPr>
        <w:rFonts w:ascii="新宋体" w:hAnsi="新宋体" w:eastAsia="新宋体" w:cs="新宋体"/>
        <w:sz w:val="28"/>
        <w:szCs w:val="28"/>
      </w:rPr>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6</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6</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287"/>
      <w:rPr>
        <w:rFonts w:ascii="新宋体" w:hAnsi="新宋体" w:eastAsia="新宋体" w:cs="新宋体"/>
        <w:sz w:val="28"/>
        <w:szCs w:val="28"/>
      </w:rPr>
    </w:pPr>
    <w:r>
      <w:rPr>
        <w:sz w:val="2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Y2YxYmI1OGEyNjc3ODBkNzIzMWMyOGZlZmIzNzA0ZjUifQ=="/>
  </w:docVars>
  <w:rsids>
    <w:rsidRoot w:val="00000000"/>
    <w:rsid w:val="28AF081E"/>
    <w:rsid w:val="28FF52D1"/>
    <w:rsid w:val="37F45271"/>
    <w:rsid w:val="56A96EA0"/>
    <w:rsid w:val="64046A92"/>
    <w:rsid w:val="733C12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8</Pages>
  <Words>1961</Words>
  <Characters>2053</Characters>
  <TotalTime>1</TotalTime>
  <ScaleCrop>false</ScaleCrop>
  <LinksUpToDate>false</LinksUpToDate>
  <CharactersWithSpaces>2104</CharactersWithSpaces>
  <Application>WPS Office_11.1.0.12763_F1E327BC-269C-435d-A152-05C5408002CA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2023-04-27T15:20:00Z</dcterms:created>
  <dc:creator>系统管理员04</dc:creator>
  <cp:lastModifiedBy>Admin</cp:lastModifiedBy>
  <dcterms:modified xsi:type="dcterms:W3CDTF">2023-10-24T06:11:34Z</dcterms:modified>
  <dc:title>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2023-10-23T17:44:11Z</vt:filetime>
  </property>
  <property fmtid="{D5CDD505-2E9C-101B-9397-08002B2CF9AE}" pid="4" name="KSOProductBuildVer">
    <vt:lpwstr>2052-11.1.0.12763</vt:lpwstr>
  </property>
  <property fmtid="{D5CDD505-2E9C-101B-9397-08002B2CF9AE}" pid="5" name="ICV">
    <vt:lpwstr>8D89D79ACEDD481680FD329D7D7F9D13</vt:lpwstr>
  </property>
</Properties>
</file>